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北京顺嘉润纺织品有限公司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夏爱俭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于燕</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Q:04.02.00,29.08.01</w:t>
            </w:r>
          </w:p>
          <w:p>
            <w:pPr>
              <w:spacing w:line="240" w:lineRule="exact"/>
              <w:jc w:val="center"/>
              <w:rPr>
                <w:b/>
                <w:color w:val="000000" w:themeColor="text1"/>
                <w:sz w:val="20"/>
                <w:szCs w:val="20"/>
              </w:rPr>
            </w:pPr>
            <w:r>
              <w:rPr>
                <w:b/>
                <w:color w:val="000000" w:themeColor="text1"/>
                <w:sz w:val="20"/>
                <w:szCs w:val="20"/>
              </w:rPr>
              <w:t>E:04.02.00,29.08.01</w:t>
            </w:r>
          </w:p>
          <w:p>
            <w:pPr>
              <w:spacing w:line="240" w:lineRule="exact"/>
              <w:jc w:val="center"/>
              <w:rPr>
                <w:b/>
                <w:color w:val="000000" w:themeColor="text1"/>
                <w:sz w:val="20"/>
                <w:szCs w:val="20"/>
              </w:rPr>
            </w:pPr>
            <w:r>
              <w:rPr>
                <w:b/>
                <w:color w:val="000000" w:themeColor="text1"/>
                <w:sz w:val="20"/>
                <w:szCs w:val="20"/>
              </w:rPr>
              <w:t>O:04.02.00,29.08.01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北京顺嘉润纺织品有限公司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北京市顺义区后沙峪镇铁匠营村铁兴西街22号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北京市顺义区后沙峪镇铁匠营村铁兴西街22号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101300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18612597999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李月娥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李茹芸</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Q：棉及化纤制品（床上用品、台布、窗帘）加工；针纺织品的销售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E：棉及化纤制品（床上用品、台布、窗帘）加工；针纺织品的销售及相关环境管理活动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O：棉及化纤制品（床上用品、台布、窗帘）加工；针纺织品的销售及相关职业健康安全管理活动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Q：04.02.00;29.08.01</w:t>
            </w:r>
          </w:p>
          <w:p>
            <w:pPr>
              <w:spacing w:line="320" w:lineRule="exact"/>
              <w:rPr>
                <w:rFonts w:ascii="宋体" w:hAnsi="宋体"/>
                <w:b/>
                <w:color w:val="000000" w:themeColor="text1"/>
                <w:sz w:val="20"/>
                <w:szCs w:val="20"/>
              </w:rPr>
            </w:pPr>
            <w:r>
              <w:rPr>
                <w:rFonts w:ascii="宋体" w:hAnsi="宋体"/>
                <w:b/>
                <w:color w:val="000000" w:themeColor="text1"/>
                <w:sz w:val="20"/>
                <w:szCs w:val="20"/>
              </w:rPr>
              <w:t>E：04.02.00;29.08.01</w:t>
            </w:r>
          </w:p>
          <w:p>
            <w:pPr>
              <w:spacing w:line="320" w:lineRule="exact"/>
              <w:rPr>
                <w:rFonts w:ascii="宋体" w:hAnsi="宋体"/>
                <w:b/>
                <w:color w:val="000000" w:themeColor="text1"/>
                <w:sz w:val="20"/>
                <w:szCs w:val="20"/>
              </w:rPr>
            </w:pPr>
            <w:r>
              <w:rPr>
                <w:rFonts w:ascii="宋体" w:hAnsi="宋体"/>
                <w:b/>
                <w:color w:val="000000" w:themeColor="text1"/>
                <w:sz w:val="20"/>
                <w:szCs w:val="20"/>
              </w:rPr>
              <w:t>O：04.02.00;29.08.01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eastAsia" w:ascii="宋体" w:hAnsi="宋体" w:eastAsia="宋体"/>
                <w:b/>
                <w:color w:val="000000" w:themeColor="text1"/>
                <w:sz w:val="20"/>
                <w:szCs w:val="20"/>
                <w:lang w:eastAsia="zh-CN"/>
              </w:rPr>
            </w:pPr>
            <w:bookmarkStart w:id="19" w:name="体系运行时间"/>
            <w:r>
              <w:rPr>
                <w:rFonts w:ascii="宋体" w:hAnsi="宋体"/>
                <w:b/>
                <w:color w:val="000000" w:themeColor="text1"/>
                <w:sz w:val="20"/>
                <w:szCs w:val="20"/>
              </w:rPr>
              <w:t>2019-11-1</w:t>
            </w:r>
            <w:bookmarkEnd w:id="19"/>
            <w:r>
              <w:rPr>
                <w:rFonts w:hint="eastAsia" w:ascii="宋体" w:hAnsi="宋体"/>
                <w:b/>
                <w:color w:val="000000" w:themeColor="text1"/>
                <w:sz w:val="20"/>
                <w:szCs w:val="20"/>
                <w:lang w:val="en-US" w:eastAsia="zh-CN"/>
              </w:rPr>
              <w:t>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Theme="minorEastAsia" w:hAnsiTheme="minorEastAsia" w:eastAsiaTheme="minorEastAsia" w:cstheme="minorEastAsia"/>
                <w:color w:val="auto"/>
                <w:kern w:val="2"/>
                <w:sz w:val="21"/>
                <w:szCs w:val="21"/>
                <w:lang w:val="en-US" w:eastAsia="zh-CN" w:bidi="ar"/>
              </w:rPr>
              <w:t>管理层</w:t>
            </w:r>
          </w:p>
        </w:tc>
        <w:tc>
          <w:tcPr>
            <w:tcW w:w="6804" w:type="dxa"/>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与管理层有关的质量、环境、安全职业健康安全管理活动</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u w:val="single"/>
                <w:lang w:val="en-US"/>
              </w:rPr>
            </w:pPr>
            <w:r>
              <w:rPr>
                <w:rFonts w:hint="eastAsia" w:asciiTheme="minorEastAsia" w:hAnsiTheme="minorEastAsia" w:eastAsiaTheme="minorEastAsia" w:cstheme="minorEastAsia"/>
                <w:color w:val="auto"/>
                <w:sz w:val="21"/>
                <w:szCs w:val="21"/>
                <w:u w:val="single"/>
                <w:lang w:val="en-US" w:eastAsia="zh-CN"/>
              </w:rPr>
              <w:t>Q:4.1/4.2/4.3/4.4/5.1/5.2</w:t>
            </w:r>
            <w:r>
              <w:rPr>
                <w:rFonts w:hint="eastAsia" w:asciiTheme="minorEastAsia" w:hAnsiTheme="minorEastAsia" w:eastAsiaTheme="minorEastAsia" w:cstheme="minorEastAsia"/>
                <w:b/>
                <w:bCs/>
                <w:color w:val="auto"/>
                <w:sz w:val="21"/>
                <w:szCs w:val="21"/>
                <w:u w:val="single"/>
                <w:lang w:val="en-US" w:eastAsia="zh-CN"/>
              </w:rPr>
              <w:t>/5.3/6.1/6.2/6.3/</w:t>
            </w:r>
            <w:r>
              <w:rPr>
                <w:rFonts w:hint="eastAsia" w:asciiTheme="minorEastAsia" w:hAnsiTheme="minorEastAsia" w:eastAsiaTheme="minorEastAsia" w:cstheme="minorEastAsia"/>
                <w:color w:val="auto"/>
                <w:sz w:val="21"/>
                <w:szCs w:val="21"/>
                <w:u w:val="single"/>
                <w:lang w:val="en-US" w:eastAsia="zh-CN"/>
              </w:rPr>
              <w:t>7.1/9.1.1/</w:t>
            </w:r>
            <w:r>
              <w:rPr>
                <w:rFonts w:hint="eastAsia" w:asciiTheme="minorEastAsia" w:hAnsiTheme="minorEastAsia" w:eastAsiaTheme="minorEastAsia" w:cstheme="minorEastAsia"/>
                <w:b/>
                <w:bCs/>
                <w:color w:val="auto"/>
                <w:sz w:val="21"/>
                <w:szCs w:val="21"/>
                <w:u w:val="single"/>
                <w:lang w:val="en-US" w:eastAsia="zh-CN"/>
              </w:rPr>
              <w:t>9.3</w:t>
            </w:r>
            <w:r>
              <w:rPr>
                <w:rFonts w:hint="eastAsia" w:asciiTheme="minorEastAsia" w:hAnsiTheme="minorEastAsia" w:eastAsiaTheme="minorEastAsia" w:cstheme="minorEastAsia"/>
                <w:color w:val="auto"/>
                <w:sz w:val="21"/>
                <w:szCs w:val="21"/>
                <w:u w:val="single"/>
                <w:lang w:val="en-US" w:eastAsia="zh-CN"/>
              </w:rPr>
              <w:t>/10.1/10.3;</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E:4.1/4.2/4.3/4.4/5.1/5.2/5.3/6.1.1/</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6.1.4/6.2/7.1/</w:t>
            </w:r>
            <w:r>
              <w:rPr>
                <w:rFonts w:hint="eastAsia" w:asciiTheme="minorEastAsia" w:hAnsiTheme="minorEastAsia" w:eastAsiaTheme="minorEastAsia" w:cstheme="minorEastAsia"/>
                <w:b/>
                <w:bCs/>
                <w:color w:val="auto"/>
                <w:sz w:val="21"/>
                <w:szCs w:val="21"/>
                <w:lang w:val="en-US" w:eastAsia="zh-CN"/>
              </w:rPr>
              <w:t>8.1/8.2/</w:t>
            </w:r>
            <w:r>
              <w:rPr>
                <w:rFonts w:hint="eastAsia" w:asciiTheme="minorEastAsia" w:hAnsiTheme="minorEastAsia" w:eastAsiaTheme="minorEastAsia" w:cstheme="minorEastAsia"/>
                <w:color w:val="auto"/>
                <w:sz w:val="21"/>
                <w:szCs w:val="21"/>
                <w:lang w:val="en-US" w:eastAsia="zh-CN"/>
              </w:rPr>
              <w:t>9.3</w:t>
            </w:r>
            <w:r>
              <w:rPr>
                <w:rFonts w:hint="eastAsia" w:asciiTheme="minorEastAsia" w:hAnsiTheme="minorEastAsia" w:eastAsiaTheme="minorEastAsia" w:cstheme="minorEastAsia"/>
                <w:b/>
                <w:bCs/>
                <w:color w:val="auto"/>
                <w:sz w:val="21"/>
                <w:szCs w:val="21"/>
                <w:lang w:val="en-US" w:eastAsia="zh-CN"/>
              </w:rPr>
              <w:t>/10.1/10.3</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O:4.1/4.2/4.3/4.4/5.1/5.2/5.3（5.4）/6.1.1/</w:t>
            </w:r>
          </w:p>
          <w:p>
            <w:pPr>
              <w:keepNext w:val="0"/>
              <w:keepLines w:val="0"/>
              <w:widowControl w:val="0"/>
              <w:suppressLineNumbers w:val="0"/>
              <w:snapToGrid w:val="0"/>
              <w:spacing w:before="0" w:beforeAutospacing="0" w:after="0" w:afterAutospacing="0" w:line="360" w:lineRule="auto"/>
              <w:ind w:left="0" w:right="0"/>
              <w:jc w:val="left"/>
              <w:rPr>
                <w:rFonts w:hint="eastAsia"/>
                <w:color w:val="auto"/>
                <w:lang w:val="en-US"/>
              </w:rPr>
            </w:pPr>
            <w:r>
              <w:rPr>
                <w:rFonts w:hint="eastAsia" w:asciiTheme="minorEastAsia" w:hAnsiTheme="minorEastAsia" w:eastAsiaTheme="minorEastAsia" w:cstheme="minorEastAsia"/>
                <w:color w:val="auto"/>
                <w:sz w:val="21"/>
                <w:szCs w:val="21"/>
                <w:lang w:val="en-US" w:eastAsia="zh-CN"/>
              </w:rPr>
              <w:t>6.1.4/6.2/7.1/</w:t>
            </w:r>
            <w:r>
              <w:rPr>
                <w:rFonts w:hint="eastAsia" w:asciiTheme="minorEastAsia" w:hAnsiTheme="minorEastAsia" w:eastAsiaTheme="minorEastAsia" w:cstheme="minorEastAsia"/>
                <w:b/>
                <w:bCs/>
                <w:color w:val="auto"/>
                <w:sz w:val="21"/>
                <w:szCs w:val="21"/>
                <w:lang w:val="en-US" w:eastAsia="zh-CN"/>
              </w:rPr>
              <w:t>8.1/8.2/</w:t>
            </w:r>
            <w:r>
              <w:rPr>
                <w:rFonts w:hint="eastAsia" w:asciiTheme="minorEastAsia" w:hAnsiTheme="minorEastAsia" w:eastAsiaTheme="minorEastAsia" w:cstheme="minorEastAsia"/>
                <w:color w:val="auto"/>
                <w:sz w:val="21"/>
                <w:szCs w:val="21"/>
                <w:lang w:val="en-US" w:eastAsia="zh-CN"/>
              </w:rPr>
              <w:t>9.3</w:t>
            </w:r>
            <w:r>
              <w:rPr>
                <w:rFonts w:hint="eastAsia" w:asciiTheme="minorEastAsia" w:hAnsiTheme="minorEastAsia" w:eastAsiaTheme="minorEastAsia" w:cstheme="minorEastAsia"/>
                <w:b/>
                <w:bCs/>
                <w:color w:val="auto"/>
                <w:sz w:val="21"/>
                <w:szCs w:val="21"/>
                <w:lang w:val="en-US" w:eastAsia="zh-CN"/>
              </w:rPr>
              <w:t>/10.1/10.3</w:t>
            </w:r>
          </w:p>
          <w:p>
            <w:pPr>
              <w:pStyle w:val="19"/>
              <w:spacing w:line="360" w:lineRule="auto"/>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auto"/>
                <w:sz w:val="21"/>
                <w:szCs w:val="21"/>
                <w:lang w:val="en-US" w:eastAsia="zh-CN"/>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Theme="minorEastAsia" w:hAnsiTheme="minorEastAsia" w:eastAsiaTheme="minorEastAsia" w:cstheme="minorEastAsia"/>
                <w:color w:val="auto"/>
                <w:kern w:val="2"/>
                <w:sz w:val="21"/>
                <w:szCs w:val="21"/>
                <w:lang w:val="en-US" w:eastAsia="zh-CN" w:bidi="ar"/>
              </w:rPr>
              <w:t>综合部（含财务）</w:t>
            </w:r>
          </w:p>
        </w:tc>
        <w:tc>
          <w:tcPr>
            <w:tcW w:w="6804" w:type="dxa"/>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目标管理方案,与管理过程控制；人力资源；文件记录控制；内外部信息交流过程；内审管理，</w:t>
            </w:r>
            <w:r>
              <w:rPr>
                <w:rFonts w:hint="eastAsia" w:asciiTheme="minorEastAsia" w:hAnsiTheme="minorEastAsia" w:eastAsiaTheme="minorEastAsia" w:cstheme="minorEastAsia"/>
                <w:color w:val="auto"/>
                <w:kern w:val="2"/>
                <w:sz w:val="21"/>
                <w:szCs w:val="21"/>
                <w:lang w:val="en-US" w:eastAsia="zh-CN" w:bidi="ar"/>
              </w:rPr>
              <w:t>与供方有关的</w:t>
            </w:r>
            <w:r>
              <w:rPr>
                <w:rFonts w:hint="eastAsia" w:asciiTheme="minorEastAsia" w:hAnsiTheme="minorEastAsia" w:eastAsiaTheme="minorEastAsia" w:cstheme="minorEastAsia"/>
                <w:color w:val="auto"/>
                <w:sz w:val="21"/>
                <w:szCs w:val="21"/>
                <w:lang w:val="en-US" w:eastAsia="zh-CN"/>
              </w:rPr>
              <w:t>质量、环境职业健康安全管理</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u w:val="single"/>
                <w:lang w:val="en-US"/>
              </w:rPr>
            </w:pPr>
            <w:r>
              <w:rPr>
                <w:rFonts w:hint="eastAsia" w:asciiTheme="minorEastAsia" w:hAnsiTheme="minorEastAsia" w:eastAsiaTheme="minorEastAsia" w:cstheme="minorEastAsia"/>
                <w:color w:val="auto"/>
                <w:sz w:val="21"/>
                <w:szCs w:val="21"/>
                <w:u w:val="single"/>
                <w:lang w:val="en-US" w:eastAsia="zh-CN"/>
              </w:rPr>
              <w:t>Q:5.3/6.1/6.2/</w:t>
            </w:r>
            <w:r>
              <w:rPr>
                <w:rFonts w:hint="eastAsia" w:asciiTheme="minorEastAsia" w:hAnsiTheme="minorEastAsia" w:eastAsiaTheme="minorEastAsia" w:cstheme="minorEastAsia"/>
                <w:b/>
                <w:bCs/>
                <w:color w:val="auto"/>
                <w:sz w:val="21"/>
                <w:szCs w:val="21"/>
                <w:u w:val="single"/>
                <w:lang w:val="en-US" w:eastAsia="zh-CN"/>
              </w:rPr>
              <w:t>7.1.2/7.1.6/7.2/7.3/7.4</w:t>
            </w:r>
            <w:r>
              <w:rPr>
                <w:rFonts w:hint="eastAsia" w:asciiTheme="minorEastAsia" w:hAnsiTheme="minorEastAsia" w:eastAsiaTheme="minorEastAsia" w:cstheme="minorEastAsia"/>
                <w:color w:val="auto"/>
                <w:sz w:val="21"/>
                <w:szCs w:val="21"/>
                <w:u w:val="single"/>
                <w:lang w:val="en-US" w:eastAsia="zh-CN"/>
              </w:rPr>
              <w:t>/7.5/</w:t>
            </w:r>
            <w:r>
              <w:rPr>
                <w:rFonts w:hint="eastAsia" w:asciiTheme="minorEastAsia" w:hAnsiTheme="minorEastAsia" w:eastAsiaTheme="minorEastAsia" w:cstheme="minorEastAsia"/>
                <w:b/>
                <w:bCs/>
                <w:color w:val="auto"/>
                <w:sz w:val="21"/>
                <w:szCs w:val="21"/>
                <w:u w:val="single"/>
                <w:lang w:val="en-US" w:eastAsia="zh-CN"/>
              </w:rPr>
              <w:t>8.2/8.4/9.1.2</w:t>
            </w:r>
            <w:r>
              <w:rPr>
                <w:rFonts w:hint="eastAsia" w:asciiTheme="minorEastAsia" w:hAnsiTheme="minorEastAsia" w:eastAsiaTheme="minorEastAsia" w:cstheme="minorEastAsia"/>
                <w:color w:val="auto"/>
                <w:sz w:val="21"/>
                <w:szCs w:val="21"/>
                <w:u w:val="single"/>
                <w:lang w:val="en-US" w:eastAsia="zh-CN"/>
              </w:rPr>
              <w:t>/9.1.1/</w:t>
            </w:r>
            <w:r>
              <w:rPr>
                <w:rFonts w:hint="eastAsia" w:asciiTheme="minorEastAsia" w:hAnsiTheme="minorEastAsia" w:eastAsiaTheme="minorEastAsia" w:cstheme="minorEastAsia"/>
                <w:b/>
                <w:bCs/>
                <w:color w:val="auto"/>
                <w:sz w:val="21"/>
                <w:szCs w:val="21"/>
                <w:u w:val="single"/>
                <w:lang w:val="en-US" w:eastAsia="zh-CN"/>
              </w:rPr>
              <w:t>9.2</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E: 5.3   /6.1/6.2//7.2/7.3/7.4/</w:t>
            </w:r>
            <w:r>
              <w:rPr>
                <w:rFonts w:hint="eastAsia" w:asciiTheme="minorEastAsia" w:hAnsiTheme="minorEastAsia" w:eastAsiaTheme="minorEastAsia" w:cstheme="minorEastAsia"/>
                <w:color w:val="auto"/>
                <w:sz w:val="21"/>
                <w:szCs w:val="21"/>
                <w:u w:val="none"/>
                <w:lang w:val="en-US" w:eastAsia="zh-CN"/>
              </w:rPr>
              <w:t>7.5/8.1/8.2/9.1.</w:t>
            </w:r>
            <w:r>
              <w:rPr>
                <w:rFonts w:hint="eastAsia" w:asciiTheme="minorEastAsia" w:hAnsiTheme="minorEastAsia" w:eastAsiaTheme="minorEastAsia" w:cstheme="minorEastAsia"/>
                <w:color w:val="auto"/>
                <w:sz w:val="21"/>
                <w:szCs w:val="21"/>
                <w:lang w:val="en-US" w:eastAsia="zh-CN"/>
              </w:rPr>
              <w:t>1/9.2</w:t>
            </w:r>
          </w:p>
          <w:p>
            <w:pPr>
              <w:pStyle w:val="19"/>
              <w:spacing w:line="360" w:lineRule="auto"/>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auto"/>
                <w:sz w:val="21"/>
                <w:szCs w:val="21"/>
                <w:lang w:val="en-US" w:eastAsia="zh-CN"/>
              </w:rPr>
              <w:t>O: 5.3/5.4/6.1/6.2//7.2/7.3/7.4/</w:t>
            </w:r>
            <w:r>
              <w:rPr>
                <w:rFonts w:hint="eastAsia" w:asciiTheme="minorEastAsia" w:hAnsiTheme="minorEastAsia" w:eastAsiaTheme="minorEastAsia" w:cstheme="minorEastAsia"/>
                <w:color w:val="auto"/>
                <w:sz w:val="21"/>
                <w:szCs w:val="21"/>
                <w:u w:val="none"/>
                <w:lang w:val="en-US" w:eastAsia="zh-CN"/>
              </w:rPr>
              <w:t>7.5/8.1/8.2/9.1.</w:t>
            </w:r>
            <w:r>
              <w:rPr>
                <w:rFonts w:hint="eastAsia" w:asciiTheme="minorEastAsia" w:hAnsiTheme="minorEastAsia" w:eastAsiaTheme="minorEastAsia" w:cstheme="minorEastAsia"/>
                <w:color w:val="auto"/>
                <w:sz w:val="21"/>
                <w:szCs w:val="21"/>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z w:val="20"/>
                <w:szCs w:val="20"/>
              </w:rPr>
            </w:pPr>
            <w:r>
              <w:rPr>
                <w:rFonts w:hint="eastAsia" w:asciiTheme="minorEastAsia" w:hAnsiTheme="minorEastAsia" w:eastAsiaTheme="minorEastAsia" w:cstheme="minorEastAsia"/>
                <w:color w:val="auto"/>
                <w:kern w:val="2"/>
                <w:sz w:val="21"/>
                <w:szCs w:val="21"/>
                <w:lang w:val="en-US" w:eastAsia="zh-CN" w:bidi="ar"/>
              </w:rPr>
              <w:t>生产部</w:t>
            </w:r>
          </w:p>
        </w:tc>
        <w:tc>
          <w:tcPr>
            <w:tcW w:w="6804" w:type="dxa"/>
            <w:vAlign w:val="center"/>
          </w:tcPr>
          <w:p>
            <w:pPr>
              <w:pStyle w:val="1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危险源、重要环境因素的识别、合规性评价</w:t>
            </w:r>
            <w:r>
              <w:rPr>
                <w:rFonts w:hint="eastAsia" w:asciiTheme="minorEastAsia" w:hAnsiTheme="minorEastAsia" w:eastAsiaTheme="minorEastAsia" w:cstheme="minorEastAsia"/>
                <w:color w:val="auto"/>
                <w:sz w:val="21"/>
                <w:szCs w:val="21"/>
                <w:lang w:val="en-US" w:eastAsia="zh-CN"/>
              </w:rPr>
              <w:t>，质量、环境、职业健康安全管理过程</w:t>
            </w:r>
          </w:p>
          <w:p>
            <w:pPr>
              <w:keepNext w:val="0"/>
              <w:keepLines w:val="0"/>
              <w:widowControl w:val="0"/>
              <w:suppressLineNumbers w:val="0"/>
              <w:snapToGrid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u w:val="single"/>
                <w:lang w:val="en-US" w:eastAsia="zh-CN"/>
              </w:rPr>
              <w:t>E:6.1.2/6.1.3/6.1.4/9.1.2；</w:t>
            </w:r>
          </w:p>
          <w:p>
            <w:pPr>
              <w:keepNext w:val="0"/>
              <w:keepLines w:val="0"/>
              <w:widowControl w:val="0"/>
              <w:suppressLineNumbers w:val="0"/>
              <w:snapToGrid w:val="0"/>
              <w:spacing w:before="0" w:beforeAutospacing="0" w:after="0" w:afterAutospacing="0" w:line="240" w:lineRule="auto"/>
              <w:ind w:left="0" w:leftChars="0" w:right="0" w:rightChars="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auto"/>
                <w:sz w:val="21"/>
                <w:szCs w:val="21"/>
                <w:lang w:val="en-US" w:eastAsia="zh-CN"/>
              </w:rPr>
              <w:t xml:space="preserve">O:6.1.2/6.1.3/6.1.4/9.1.2；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Theme="minorEastAsia" w:hAnsiTheme="minorEastAsia" w:eastAsiaTheme="minorEastAsia" w:cstheme="minorEastAsia"/>
                <w:color w:val="auto"/>
                <w:kern w:val="2"/>
                <w:sz w:val="21"/>
                <w:szCs w:val="21"/>
                <w:lang w:val="en-US" w:eastAsia="zh-CN" w:bidi="ar"/>
              </w:rPr>
              <w:t>生产部（含库房）</w:t>
            </w:r>
          </w:p>
        </w:tc>
        <w:tc>
          <w:tcPr>
            <w:tcW w:w="6804" w:type="dxa"/>
            <w:vAlign w:val="center"/>
          </w:tcPr>
          <w:p>
            <w:pPr>
              <w:pStyle w:val="19"/>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策划、实施、放行、交付、与客户有关的质量、环境、安全职业健康安全管理活动安全运行控制</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u w:val="single"/>
                <w:lang w:val="en-US"/>
              </w:rPr>
            </w:pPr>
            <w:r>
              <w:rPr>
                <w:rFonts w:hint="eastAsia" w:asciiTheme="minorEastAsia" w:hAnsiTheme="minorEastAsia" w:eastAsiaTheme="minorEastAsia" w:cstheme="minorEastAsia"/>
                <w:color w:val="auto"/>
                <w:sz w:val="21"/>
                <w:szCs w:val="21"/>
                <w:u w:val="single"/>
                <w:lang w:val="en-US" w:eastAsia="zh-CN"/>
              </w:rPr>
              <w:t>Q:5.3/6.2/7.1.3/</w:t>
            </w:r>
            <w:r>
              <w:rPr>
                <w:rFonts w:hint="eastAsia" w:asciiTheme="minorEastAsia" w:hAnsiTheme="minorEastAsia" w:eastAsiaTheme="minorEastAsia" w:cstheme="minorEastAsia"/>
                <w:b/>
                <w:bCs/>
                <w:color w:val="auto"/>
                <w:sz w:val="21"/>
                <w:szCs w:val="21"/>
                <w:u w:val="single"/>
                <w:lang w:val="en-US" w:eastAsia="zh-CN"/>
              </w:rPr>
              <w:t>7.1.4/7.1.5/7.1.6/8.1/8.3/8.5/8.6/8.7/</w:t>
            </w:r>
            <w:r>
              <w:rPr>
                <w:rFonts w:hint="eastAsia" w:asciiTheme="minorEastAsia" w:hAnsiTheme="minorEastAsia" w:eastAsiaTheme="minorEastAsia" w:cstheme="minorEastAsia"/>
                <w:color w:val="auto"/>
                <w:sz w:val="21"/>
                <w:szCs w:val="21"/>
                <w:u w:val="single"/>
                <w:lang w:val="en-US" w:eastAsia="zh-CN"/>
              </w:rPr>
              <w:t>9.1.2/9.1.3/10.2</w:t>
            </w:r>
          </w:p>
          <w:p>
            <w:pPr>
              <w:keepNext w:val="0"/>
              <w:keepLines w:val="0"/>
              <w:widowControl w:val="0"/>
              <w:suppressLineNumbers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u w:val="single"/>
                <w:lang w:val="en-US" w:eastAsia="zh-CN"/>
              </w:rPr>
              <w:t>E: 5.3/6.2/</w:t>
            </w:r>
            <w:r>
              <w:rPr>
                <w:rFonts w:hint="eastAsia" w:asciiTheme="minorEastAsia" w:hAnsiTheme="minorEastAsia" w:eastAsiaTheme="minorEastAsia" w:cstheme="minorEastAsia"/>
                <w:b/>
                <w:bCs/>
                <w:color w:val="auto"/>
                <w:kern w:val="2"/>
                <w:sz w:val="21"/>
                <w:szCs w:val="21"/>
                <w:u w:val="single"/>
                <w:lang w:val="en-US" w:eastAsia="zh-CN" w:bidi="ar"/>
              </w:rPr>
              <w:t>6.1.2/6.1.3/6.1.4/</w:t>
            </w:r>
            <w:r>
              <w:rPr>
                <w:rFonts w:hint="eastAsia" w:asciiTheme="minorEastAsia" w:hAnsiTheme="minorEastAsia" w:eastAsiaTheme="minorEastAsia" w:cstheme="minorEastAsia"/>
                <w:color w:val="auto"/>
                <w:sz w:val="21"/>
                <w:szCs w:val="21"/>
                <w:u w:val="single"/>
                <w:lang w:val="en-US" w:eastAsia="zh-CN"/>
              </w:rPr>
              <w:t>7.5</w:t>
            </w:r>
            <w:r>
              <w:rPr>
                <w:rFonts w:hint="eastAsia" w:asciiTheme="minorEastAsia" w:hAnsiTheme="minorEastAsia" w:eastAsiaTheme="minorEastAsia" w:cstheme="minorEastAsia"/>
                <w:b/>
                <w:bCs/>
                <w:color w:val="auto"/>
                <w:sz w:val="21"/>
                <w:szCs w:val="21"/>
                <w:u w:val="single"/>
                <w:lang w:val="en-US" w:eastAsia="zh-CN"/>
              </w:rPr>
              <w:t>/8.1/8.2/9.1.2</w:t>
            </w:r>
            <w:r>
              <w:rPr>
                <w:rFonts w:hint="eastAsia" w:asciiTheme="minorEastAsia" w:hAnsiTheme="minorEastAsia" w:eastAsiaTheme="minorEastAsia" w:cstheme="minorEastAsia"/>
                <w:color w:val="auto"/>
                <w:sz w:val="21"/>
                <w:szCs w:val="21"/>
                <w:u w:val="single"/>
                <w:lang w:val="en-US" w:eastAsia="zh-CN"/>
              </w:rPr>
              <w:t>/10.2</w:t>
            </w:r>
          </w:p>
          <w:p>
            <w:pPr>
              <w:keepNext w:val="0"/>
              <w:keepLines w:val="0"/>
              <w:widowControl w:val="0"/>
              <w:suppressLineNumbers w:val="0"/>
              <w:snapToGrid w:val="0"/>
              <w:spacing w:before="0" w:beforeAutospacing="0" w:after="0" w:afterAutospacing="0" w:line="360" w:lineRule="auto"/>
              <w:ind w:left="0" w:leftChars="0" w:right="0" w:rightChars="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auto"/>
                <w:sz w:val="21"/>
                <w:szCs w:val="21"/>
                <w:lang w:val="en-US" w:eastAsia="zh-CN"/>
              </w:rPr>
              <w:t>O: 5.3/5.4/6.2/</w:t>
            </w:r>
            <w:r>
              <w:rPr>
                <w:rFonts w:hint="eastAsia" w:asciiTheme="minorEastAsia" w:hAnsiTheme="minorEastAsia" w:eastAsiaTheme="minorEastAsia" w:cstheme="minorEastAsia"/>
                <w:b/>
                <w:bCs/>
                <w:color w:val="auto"/>
                <w:kern w:val="2"/>
                <w:sz w:val="21"/>
                <w:szCs w:val="21"/>
                <w:lang w:val="en-US" w:eastAsia="zh-CN" w:bidi="ar"/>
              </w:rPr>
              <w:t>6.1.2/6.1.3/6.1.4/</w:t>
            </w:r>
            <w:r>
              <w:rPr>
                <w:rFonts w:hint="eastAsia" w:asciiTheme="minorEastAsia" w:hAnsiTheme="minorEastAsia" w:eastAsiaTheme="minorEastAsia" w:cstheme="minorEastAsia"/>
                <w:color w:val="auto"/>
                <w:sz w:val="21"/>
                <w:szCs w:val="21"/>
                <w:lang w:val="en-US" w:eastAsia="zh-CN"/>
              </w:rPr>
              <w:t>7.5</w:t>
            </w:r>
            <w:r>
              <w:rPr>
                <w:rFonts w:hint="eastAsia" w:asciiTheme="minorEastAsia" w:hAnsiTheme="minorEastAsia" w:eastAsiaTheme="minorEastAsia" w:cstheme="minorEastAsia"/>
                <w:b/>
                <w:bCs/>
                <w:color w:val="auto"/>
                <w:sz w:val="21"/>
                <w:szCs w:val="21"/>
                <w:lang w:val="en-US" w:eastAsia="zh-CN"/>
              </w:rPr>
              <w:t>/8.1/8.2/9.1.2</w:t>
            </w:r>
            <w:r>
              <w:rPr>
                <w:rFonts w:hint="eastAsia" w:asciiTheme="minorEastAsia" w:hAnsiTheme="minorEastAsia" w:eastAsiaTheme="minorEastAsia" w:cstheme="minorEastAsia"/>
                <w:color w:val="auto"/>
                <w:sz w:val="21"/>
                <w:szCs w:val="21"/>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240" w:lineRule="exact"/>
              <w:ind w:left="0" w:leftChars="0" w:right="0" w:rightChars="0"/>
              <w:jc w:val="left"/>
              <w:rPr>
                <w:rFonts w:ascii="宋体" w:hAnsi="宋体"/>
                <w:b/>
                <w:color w:val="000000" w:themeColor="text1"/>
                <w:szCs w:val="21"/>
              </w:rPr>
            </w:pPr>
            <w:r>
              <w:rPr>
                <w:rFonts w:hint="eastAsia" w:asciiTheme="minorEastAsia" w:hAnsiTheme="minorEastAsia" w:eastAsiaTheme="minorEastAsia" w:cstheme="minorEastAsia"/>
                <w:kern w:val="2"/>
                <w:sz w:val="21"/>
                <w:szCs w:val="21"/>
                <w:lang w:val="en-US" w:eastAsia="zh-CN" w:bidi="ar"/>
              </w:rPr>
              <w:t>员工代表</w:t>
            </w:r>
          </w:p>
        </w:tc>
        <w:tc>
          <w:tcPr>
            <w:tcW w:w="6804" w:type="dxa"/>
            <w:vAlign w:val="center"/>
          </w:tcPr>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职业健康安全事务代表的参与情况</w:t>
            </w:r>
          </w:p>
          <w:p>
            <w:pPr>
              <w:keepNext w:val="0"/>
              <w:keepLines w:val="0"/>
              <w:widowControl w:val="0"/>
              <w:suppressLineNumbers w:val="0"/>
              <w:spacing w:before="0" w:beforeAutospacing="0" w:after="0" w:afterAutospacing="0" w:line="240" w:lineRule="exact"/>
              <w:ind w:left="0" w:leftChars="0" w:right="0" w:rightChars="0"/>
              <w:jc w:val="left"/>
              <w:rPr>
                <w:rFonts w:ascii="宋体" w:hAnsi="宋体"/>
                <w:b/>
                <w:color w:val="000000" w:themeColor="text1"/>
                <w:spacing w:val="-20"/>
                <w:szCs w:val="21"/>
                <w:u w:val="single"/>
              </w:rPr>
            </w:pPr>
            <w:r>
              <w:rPr>
                <w:rFonts w:hint="eastAsia" w:asciiTheme="minorEastAsia" w:hAnsiTheme="minorEastAsia" w:eastAsiaTheme="minorEastAsia" w:cstheme="minorEastAsia"/>
                <w:kern w:val="2"/>
                <w:sz w:val="21"/>
                <w:szCs w:val="21"/>
                <w:lang w:val="en-US" w:eastAsia="zh-CN" w:bidi="ar"/>
              </w:rPr>
              <w:t>O：5.3/5.4/7.4</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98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7"/>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717"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618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71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Q：棉及化纤制品（床上用品、台布、窗帘）加工；针纺织品的销售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E：棉及化纤制品（床上用品、台布、窗帘）加工；针纺织品的销售及相关环境管理活动</w:t>
            </w:r>
          </w:p>
          <w:p>
            <w:pPr>
              <w:rPr>
                <w:b/>
                <w:color w:val="000000" w:themeColor="text1"/>
                <w:sz w:val="20"/>
                <w:szCs w:val="20"/>
              </w:rPr>
            </w:pPr>
            <w:r>
              <w:rPr>
                <w:rFonts w:hint="eastAsia" w:asciiTheme="minorEastAsia" w:hAnsiTheme="minorEastAsia" w:eastAsiaTheme="minorEastAsia" w:cstheme="minorEastAsia"/>
                <w:sz w:val="21"/>
                <w:szCs w:val="21"/>
              </w:rPr>
              <w:t>O：棉及化纤制品（床上用品、台布、窗帘）加工；针纺织品的销售及相关职业健康安全管理活动</w:t>
            </w:r>
          </w:p>
        </w:tc>
        <w:tc>
          <w:tcPr>
            <w:tcW w:w="6182" w:type="dxa"/>
          </w:tcPr>
          <w:p>
            <w:pPr>
              <w:rPr>
                <w:rFonts w:hint="eastAsia"/>
                <w:lang w:eastAsia="zh-CN"/>
              </w:rPr>
            </w:pPr>
            <w:r>
              <w:rPr>
                <w:rFonts w:hint="eastAsia"/>
                <w:lang w:val="en-US" w:eastAsia="zh-CN"/>
              </w:rPr>
              <w:t>GB/T22797-2009《床单》FZ/T62026-2015《手工粗布床单》FZ/T62027-2015《磨毛面料床单》FZ/T62028-2015《针织床单》FZ/T43007-2011《丝织品被面》、</w:t>
            </w:r>
            <w:r>
              <w:rPr>
                <w:rFonts w:hint="eastAsia"/>
              </w:rPr>
              <w:t>纺织品 织物透光性的测定</w:t>
            </w:r>
            <w:r>
              <w:rPr>
                <w:rFonts w:hint="eastAsia"/>
                <w:lang w:val="en-US" w:eastAsia="zh-CN"/>
              </w:rPr>
              <w:t xml:space="preserve"> </w:t>
            </w:r>
            <w:r>
              <w:rPr>
                <w:rFonts w:hint="eastAsia"/>
              </w:rPr>
              <w:t>FZ/T 01009-2008</w:t>
            </w:r>
            <w:r>
              <w:rPr>
                <w:rFonts w:hint="eastAsia"/>
                <w:lang w:eastAsia="zh-CN"/>
              </w:rPr>
              <w:t>、</w:t>
            </w:r>
            <w:r>
              <w:rPr>
                <w:rFonts w:hint="eastAsia"/>
              </w:rPr>
              <w:t>国家纺织产品基本安全技术规范GB 18401-2010</w:t>
            </w:r>
            <w:r>
              <w:rPr>
                <w:rFonts w:hint="eastAsia"/>
                <w:lang w:eastAsia="zh-CN"/>
              </w:rPr>
              <w:t>等；</w:t>
            </w:r>
          </w:p>
          <w:p>
            <w:pPr>
              <w:spacing w:line="360" w:lineRule="auto"/>
              <w:rPr>
                <w:rFonts w:hint="eastAsia"/>
                <w:lang w:val="en-US" w:eastAsia="zh-CN"/>
              </w:rPr>
            </w:pPr>
            <w:r>
              <w:rPr>
                <w:rFonts w:hint="eastAsia"/>
                <w:color w:val="auto"/>
                <w:lang w:val="en-US" w:eastAsia="zh-CN"/>
              </w:rPr>
              <w:t>中华人民共和国环境保护法、环境噪声污染防治法、安全生产法、北京市环</w:t>
            </w:r>
            <w:r>
              <w:rPr>
                <w:rFonts w:hint="eastAsia" w:ascii="Times New Roman" w:hAnsi="Times New Roman" w:eastAsia="宋体" w:cs="Times New Roman"/>
                <w:color w:val="auto"/>
                <w:szCs w:val="22"/>
                <w:lang w:val="en-US" w:eastAsia="zh-CN"/>
              </w:rPr>
              <w:t>境噪声污染防治办法、北京市节约能源条例、北京市城市节约用水条例、北京市水污染防治条例、北京市消防条例、北京市大气污染防治条例、北京市生活垃圾管理条例、北京市安全生产条例、北京市职业病防治卫生监督条例、北京市消防条例、北京市工伤保险条例、北京市劳动保护监察条例、北京市实施《女职工劳动保护规定》的若干规定、北京市工伤保险条例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717" w:type="dxa"/>
          </w:tcPr>
          <w:p>
            <w:pPr>
              <w:rPr>
                <w:b/>
                <w:color w:val="000000" w:themeColor="text1"/>
                <w:sz w:val="20"/>
                <w:szCs w:val="20"/>
              </w:rPr>
            </w:pPr>
          </w:p>
        </w:tc>
        <w:tc>
          <w:tcPr>
            <w:tcW w:w="6182"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体系运行开始的2019年11月10日 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北京顺嘉润纺织品有限公司本着专业、精品为导向，专注于高星酒店纺织装饰品设计、生产、销售及售后服务。</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公司前身为北京市嘉润纺织品有限公司，从业于1984年，嘉润®为公司注册商标至今。由于工厂地处奥运区域迁址到顺义地区，更名为北京顺嘉润纺织品有限公司。</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主要经营的产品有：床单、被罩、仿丝被、枕芯、枕套、毛巾，浴巾，地巾，浴衣，台布、口布、台裙、椅套、防滑垫等。执行国际ISO9000-2000质量标准体系,产品设计美观大方、做工精细、品质优良，交货及时。</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营业执照统一社会信用代码：911101137635112986</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法人：李月娥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总经理：李月娥、</w:t>
            </w:r>
          </w:p>
          <w:p>
            <w:pPr>
              <w:pStyle w:val="2"/>
            </w:pPr>
            <w:r>
              <w:rPr>
                <w:rFonts w:hint="eastAsia" w:asciiTheme="minorEastAsia" w:hAnsiTheme="minorEastAsia" w:eastAsiaTheme="minorEastAsia" w:cstheme="minorEastAsia"/>
                <w:b w:val="0"/>
                <w:bCs/>
                <w:color w:val="000000"/>
                <w:sz w:val="21"/>
                <w:szCs w:val="21"/>
                <w:lang w:val="en-US" w:eastAsia="zh-CN"/>
              </w:rPr>
              <w:t>部门设置：管理层、综合部、生产部、财务部。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客户：作为对公司发展有最直接影响的相关方，公司综合部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供应商：作为产品辅助设施质量的源头，公司加大对由供应商提供的办公翻译设施相关的硬件产品以及其他的外包过程产品进行质量控制，保证使用的产品质量过关；</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pStyle w:val="19"/>
              <w:numPr>
                <w:numId w:val="0"/>
              </w:numPr>
            </w:pPr>
            <w:r>
              <w:rPr>
                <w:rFonts w:hint="eastAsia" w:asciiTheme="minorEastAsia" w:hAnsiTheme="minorEastAsia" w:eastAsiaTheme="minorEastAsia" w:cstheme="minorEastAsia"/>
                <w:b w:val="0"/>
                <w:bCs/>
                <w:color w:val="000000"/>
                <w:sz w:val="21"/>
                <w:szCs w:val="21"/>
                <w:lang w:val="en-US" w:eastAsia="zh-CN"/>
              </w:rPr>
              <w:t>审核机构及政府机关；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公司的管理方针为：</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质量优良，信誉第一；</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节能降耗，保护环境；</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健康安全，以人为本；</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规范管理，持续改进。</w:t>
            </w:r>
          </w:p>
          <w:p>
            <w:pPr>
              <w:spacing w:line="560" w:lineRule="exact"/>
              <w:rPr>
                <w:b/>
                <w:color w:val="000000" w:themeColor="text1"/>
              </w:rPr>
            </w:pPr>
            <w:r>
              <w:rPr>
                <w:rFonts w:hint="eastAsia" w:asciiTheme="minorEastAsia" w:hAnsiTheme="minorEastAsia" w:eastAsiaTheme="minorEastAsia" w:cstheme="minorEastAsia"/>
                <w:b w:val="0"/>
                <w:bCs/>
                <w:color w:val="000000"/>
                <w:sz w:val="21"/>
                <w:szCs w:val="21"/>
                <w:lang w:val="en-US" w:eastAsia="zh-CN"/>
              </w:rPr>
              <w:t>管理方针适宜，并进行了贯彻。</w:t>
            </w:r>
            <w:r>
              <w:rPr>
                <w:rFonts w:hint="eastAsia" w:asciiTheme="minorEastAsia" w:hAnsiTheme="minorEastAsia" w:eastAsiaTheme="minorEastAsia" w:cstheme="minorEastAsia"/>
                <w:b w:val="0"/>
                <w:bCs/>
                <w:color w:val="000000"/>
                <w:sz w:val="21"/>
                <w:szCs w:val="21"/>
                <w:lang w:val="zh-CN" w:eastAsia="zh-CN"/>
              </w:rPr>
              <w:t>公司的质量/环境/职业健康安全方针已经形成文件并获得保持。总经理作为公司的最高管理者</w:t>
            </w:r>
            <w:r>
              <w:rPr>
                <w:rFonts w:hint="eastAsia" w:asciiTheme="minorEastAsia" w:hAnsiTheme="minorEastAsia" w:eastAsiaTheme="minorEastAsia" w:cstheme="minorEastAsia"/>
                <w:b w:val="0"/>
                <w:bCs/>
                <w:color w:val="000000"/>
                <w:sz w:val="21"/>
                <w:szCs w:val="21"/>
                <w:lang w:val="en-US" w:eastAsia="zh-CN"/>
              </w:rPr>
              <w:t>进行制定和批准</w:t>
            </w:r>
            <w:r>
              <w:rPr>
                <w:rFonts w:hint="eastAsia" w:asciiTheme="minorEastAsia" w:hAnsiTheme="minorEastAsia" w:eastAsiaTheme="minorEastAsia" w:cstheme="minorEastAsia"/>
                <w:b w:val="0"/>
                <w:bCs/>
                <w:color w:val="000000"/>
                <w:sz w:val="21"/>
                <w:szCs w:val="21"/>
                <w:lang w:val="zh-CN" w:eastAsia="zh-CN"/>
              </w:rPr>
              <w:t>，通过培训、教育或会议等方式在公司内部沟通、推广质量/环境/职业健康安全方针，使公司各级人员理解质量/环境/职业健康安全方针并应用。适宜时，可作为宣传向有关相关方提供。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纺织业风险分析：我国目前是世界上最大的纺织品及服装出口国，纺织品及服装成为我国最有代表性的出口商品之一，纺织业的生产经营仍然存在机遇与风险的把握。</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1、纺织产品标准低。</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2、纺织业高素质人力资源缺乏。</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3、纺织企业信息化程度不高。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4、纺织企业缺乏品牌经营理念。二、为使我国由纺织大国向纺织强国的转变，需要我国纺织行业从以下方面进行整改：</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1、开发核心技术，提升产品附加值。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2、创新品牌，调整产品结构，提高产品开发和设计能力，加快实施"品牌战略"。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3、走新型工业化道路，完善纺织服务产业链，努力降低成本。</w:t>
            </w:r>
          </w:p>
          <w:p>
            <w:pPr>
              <w:pStyle w:val="19"/>
              <w:numPr>
                <w:numId w:val="0"/>
              </w:numPr>
              <w:ind w:leftChars="0"/>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4、 坚定实施"走出去战略"。</w:t>
            </w:r>
          </w:p>
          <w:p>
            <w:pPr>
              <w:pStyle w:val="19"/>
              <w:numPr>
                <w:numId w:val="0"/>
              </w:numPr>
              <w:ind w:leftChars="0"/>
            </w:pPr>
            <w:r>
              <w:rPr>
                <w:rFonts w:hint="eastAsia" w:asciiTheme="minorEastAsia" w:hAnsiTheme="minorEastAsia" w:eastAsiaTheme="minorEastAsia" w:cstheme="minorEastAsia"/>
                <w:b w:val="0"/>
                <w:bCs/>
                <w:color w:val="000000"/>
                <w:sz w:val="21"/>
                <w:szCs w:val="21"/>
                <w:lang w:val="en-US" w:eastAsia="zh-CN"/>
              </w:rPr>
              <w:t>首先重点是开辟多元化市场和分享优惠贸易政策。其一可通过整合国内市场，在采购、生产、运输上获取巨大成本优势进军国际市场；其二可利用股权关系建起国内企业与著名企业的纽带，实现企业的国际化；其三应自觉遵守法制，诚信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en-US" w:eastAsia="zh-CN"/>
              </w:rPr>
              <w:t>客户接触----合同评审----签订合同--填立项单---测量及设计---生产部排产--原材料采购(棉布、化纤布、化纤纤维)--裁剪--缝纫--检验--打包--出货</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销售：客户接触----合同评审----签订合同-----客户付款------入帐------采购-----客户提货-----验收</w:t>
            </w:r>
          </w:p>
          <w:p>
            <w:pPr>
              <w:spacing w:line="560" w:lineRule="exact"/>
              <w:ind w:firstLine="420" w:firstLineChars="200"/>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zh-CN" w:eastAsia="zh-CN"/>
              </w:rPr>
              <w:t>需确认过程：设计、</w:t>
            </w:r>
            <w:r>
              <w:rPr>
                <w:rFonts w:hint="eastAsia" w:asciiTheme="minorEastAsia" w:hAnsiTheme="minorEastAsia" w:eastAsiaTheme="minorEastAsia" w:cstheme="minorEastAsia"/>
                <w:b w:val="0"/>
                <w:bCs/>
                <w:color w:val="000000"/>
                <w:sz w:val="21"/>
                <w:szCs w:val="21"/>
                <w:lang w:val="en-US" w:eastAsia="zh-CN"/>
              </w:rPr>
              <w:t>裁剪</w:t>
            </w:r>
            <w:r>
              <w:rPr>
                <w:rFonts w:hint="eastAsia" w:asciiTheme="minorEastAsia" w:hAnsiTheme="minorEastAsia" w:eastAsiaTheme="minorEastAsia" w:cstheme="minorEastAsia"/>
                <w:b w:val="0"/>
                <w:bCs/>
                <w:color w:val="000000"/>
                <w:sz w:val="21"/>
                <w:szCs w:val="21"/>
                <w:lang w:val="zh-CN" w:eastAsia="zh-CN"/>
              </w:rPr>
              <w:t>，有确认记录，见销售部</w:t>
            </w:r>
            <w:r>
              <w:rPr>
                <w:rFonts w:hint="eastAsia" w:asciiTheme="minorEastAsia" w:hAnsiTheme="minorEastAsia" w:eastAsiaTheme="minorEastAsia" w:cstheme="minorEastAsia"/>
                <w:b w:val="0"/>
                <w:bCs/>
                <w:color w:val="000000"/>
                <w:sz w:val="21"/>
                <w:szCs w:val="21"/>
                <w:lang w:val="en-US" w:eastAsia="zh-CN"/>
              </w:rPr>
              <w:t>Q8.5.1</w:t>
            </w:r>
          </w:p>
          <w:p>
            <w:pPr>
              <w:tabs>
                <w:tab w:val="left" w:pos="540"/>
              </w:tabs>
              <w:spacing w:line="300" w:lineRule="exact"/>
              <w:ind w:left="211" w:hanging="201" w:hangingChars="100"/>
              <w:rPr>
                <w:rFonts w:hint="eastAsia" w:ascii="宋体" w:hAnsi="宋体" w:eastAsia="宋体"/>
                <w:b/>
                <w:color w:val="000000" w:themeColor="text1"/>
                <w:szCs w:val="21"/>
                <w:lang w:eastAsia="zh-CN"/>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cPr>
          <w:p>
            <w:pPr>
              <w:spacing w:line="300" w:lineRule="exact"/>
            </w:pPr>
            <w:r>
              <w:rPr>
                <w:rFonts w:hint="eastAsia"/>
              </w:rPr>
              <w:t xml:space="preserve">6. </w:t>
            </w:r>
            <w:r>
              <w:t>EMS</w:t>
            </w:r>
            <w:r>
              <w:rPr>
                <w:rFonts w:hint="eastAsia"/>
              </w:rPr>
              <w:t xml:space="preserve">环境因素/7. </w:t>
            </w:r>
            <w:r>
              <w:t>OHSMS</w:t>
            </w:r>
            <w:r>
              <w:rPr>
                <w:rFonts w:hint="eastAsia"/>
              </w:rPr>
              <w:t>职业健康安全危险源</w:t>
            </w:r>
          </w:p>
          <w:p>
            <w:pPr>
              <w:ind w:firstLine="420" w:firstLineChars="200"/>
              <w:rPr>
                <w:rFonts w:hint="eastAsia"/>
              </w:rPr>
            </w:pPr>
            <w:r>
              <w:rPr>
                <w:rFonts w:hint="eastAsia"/>
              </w:rPr>
              <w:t>要环境因素：火灾的发生</w:t>
            </w:r>
            <w:r>
              <w:rPr>
                <w:rFonts w:hint="eastAsia"/>
                <w:lang w:val="en-US" w:eastAsia="zh-CN"/>
              </w:rPr>
              <w:t>、触电、机械噪声、粉尘、固废等</w:t>
            </w:r>
            <w:r>
              <w:rPr>
                <w:rFonts w:hint="eastAsia"/>
              </w:rPr>
              <w:t>。评价基本合理。</w:t>
            </w:r>
          </w:p>
          <w:p>
            <w:pPr>
              <w:ind w:firstLine="420" w:firstLineChars="200"/>
              <w:rPr>
                <w:rFonts w:hint="eastAsia"/>
              </w:rPr>
            </w:pPr>
            <w:r>
              <w:rPr>
                <w:rFonts w:hint="eastAsia"/>
              </w:rPr>
              <w:t>提供了职业健康安全危险源识别与评价表，</w:t>
            </w:r>
          </w:p>
          <w:p>
            <w:pPr>
              <w:rPr>
                <w:rFonts w:hint="eastAsia"/>
              </w:rPr>
            </w:pPr>
            <w:r>
              <w:rPr>
                <w:rFonts w:hint="eastAsia"/>
              </w:rPr>
              <w:t>不可接受风险：火灾、触电</w:t>
            </w:r>
            <w:r>
              <w:rPr>
                <w:rFonts w:hint="eastAsia"/>
                <w:lang w:eastAsia="zh-CN"/>
              </w:rPr>
              <w:t>、</w:t>
            </w:r>
            <w:r>
              <w:rPr>
                <w:rFonts w:hint="eastAsia"/>
                <w:lang w:val="en-US" w:eastAsia="zh-CN"/>
              </w:rPr>
              <w:t>意外伤害、疫情、机械噪声、粉尘伤害、机械伤害等</w:t>
            </w:r>
            <w:r>
              <w:rPr>
                <w:rFonts w:hint="eastAsia"/>
              </w:rPr>
              <w:t>，评价基本准确。</w:t>
            </w:r>
          </w:p>
          <w:p>
            <w:pPr>
              <w:ind w:firstLine="420" w:firstLineChars="200"/>
              <w:rPr>
                <w:rFonts w:hint="eastAsia" w:ascii="Times New Roman" w:hAnsi="Times New Roman" w:eastAsia="宋体" w:cs="Times New Roman"/>
              </w:rPr>
            </w:pPr>
            <w:r>
              <w:rPr>
                <w:rFonts w:hint="eastAsia" w:asciiTheme="minorEastAsia" w:hAnsiTheme="minorEastAsia" w:eastAsiaTheme="minorEastAsia" w:cstheme="minorEastAsia"/>
                <w:color w:val="auto"/>
                <w:sz w:val="21"/>
                <w:szCs w:val="21"/>
              </w:rPr>
              <w:t>制定了环境因素和危险源</w:t>
            </w:r>
            <w:r>
              <w:rPr>
                <w:rFonts w:hint="eastAsia" w:ascii="Times New Roman" w:hAnsi="Times New Roman" w:eastAsia="宋体" w:cs="Times New Roman"/>
              </w:rPr>
              <w:t>识别评价与控制程序</w:t>
            </w:r>
            <w:r>
              <w:rPr>
                <w:rFonts w:hint="eastAsia" w:ascii="Times New Roman" w:hAnsi="Times New Roman" w:eastAsia="宋体" w:cs="Times New Roman"/>
                <w:lang w:eastAsia="zh-CN"/>
              </w:rPr>
              <w:t>、</w:t>
            </w:r>
            <w:r>
              <w:rPr>
                <w:rFonts w:hint="eastAsia" w:ascii="Times New Roman" w:hAnsi="Times New Roman" w:eastAsia="宋体" w:cs="Times New Roman"/>
              </w:rPr>
              <w:t>环境和职业健康安全法律法规控制程序</w:t>
            </w:r>
            <w:r>
              <w:rPr>
                <w:rFonts w:hint="eastAsia" w:ascii="Times New Roman" w:hAnsi="Times New Roman" w:eastAsia="宋体" w:cs="Times New Roman"/>
                <w:lang w:eastAsia="zh-CN"/>
              </w:rPr>
              <w:t>、合规性评价控制程序、监视和测量控制程序</w:t>
            </w:r>
            <w:r>
              <w:rPr>
                <w:rFonts w:hint="eastAsia" w:ascii="Times New Roman" w:hAnsi="Times New Roman" w:eastAsia="宋体" w:cs="Times New Roman"/>
                <w:lang w:val="en-US" w:eastAsia="zh-CN"/>
              </w:rPr>
              <w:t>等</w:t>
            </w:r>
            <w:r>
              <w:rPr>
                <w:rFonts w:hint="eastAsia" w:ascii="Times New Roman" w:hAnsi="Times New Roman" w:eastAsia="宋体" w:cs="Times New Roman"/>
              </w:rPr>
              <w:t>，每年对公司适用的合规义务进行识别更新并定期评价、检查。</w:t>
            </w:r>
          </w:p>
          <w:p>
            <w:pPr>
              <w:ind w:firstLine="420" w:firstLineChars="200"/>
            </w:pPr>
            <w:r>
              <w:rPr>
                <w:rFonts w:hint="eastAsia" w:ascii="Times New Roman" w:hAnsi="Times New Roman" w:eastAsia="宋体" w:cs="Times New Roman"/>
              </w:rPr>
              <w:t>经公司评价，组织策划的措施基本能够满足风险和机遇应对需要，能够与识别的风险和机遇对产品符合性的潜在影响相适应，基本满足标准要求。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F0A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F0A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F0A2"/>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zh-CN" w:eastAsia="zh-CN"/>
              </w:rPr>
              <w:t>公司管理层以公司的质量/环境/职业健康安全方针为框架，结合公司的实际运营情况，制定公司的质量/环境/职业健康安全目标，为：</w:t>
            </w:r>
          </w:p>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zh-CN" w:eastAsia="zh-CN"/>
              </w:rPr>
              <w:t>1)</w:t>
            </w:r>
            <w:r>
              <w:rPr>
                <w:rFonts w:hint="eastAsia" w:asciiTheme="minorEastAsia" w:hAnsiTheme="minorEastAsia" w:eastAsiaTheme="minorEastAsia" w:cstheme="minorEastAsia"/>
                <w:b w:val="0"/>
                <w:bCs/>
                <w:color w:val="000000"/>
                <w:sz w:val="21"/>
                <w:szCs w:val="21"/>
                <w:lang w:val="en-US" w:eastAsia="zh-CN"/>
              </w:rPr>
              <w:t>产品一次交验合格率≥98%</w:t>
            </w:r>
          </w:p>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zh-CN" w:eastAsia="zh-CN"/>
              </w:rPr>
              <w:t>2)</w:t>
            </w:r>
            <w:r>
              <w:rPr>
                <w:rFonts w:hint="eastAsia" w:asciiTheme="minorEastAsia" w:hAnsiTheme="minorEastAsia" w:eastAsiaTheme="minorEastAsia" w:cstheme="minorEastAsia"/>
                <w:b w:val="0"/>
                <w:bCs/>
                <w:color w:val="000000"/>
                <w:sz w:val="21"/>
                <w:szCs w:val="21"/>
                <w:lang w:val="en-US" w:eastAsia="zh-CN"/>
              </w:rPr>
              <w:t>顾客满意度≥95%</w:t>
            </w:r>
            <w:r>
              <w:rPr>
                <w:rFonts w:hint="eastAsia" w:asciiTheme="minorEastAsia" w:hAnsiTheme="minorEastAsia" w:eastAsiaTheme="minorEastAsia" w:cstheme="minorEastAsia"/>
                <w:b w:val="0"/>
                <w:bCs/>
                <w:color w:val="000000"/>
                <w:sz w:val="21"/>
                <w:szCs w:val="21"/>
                <w:lang w:val="zh-CN" w:eastAsia="zh-CN"/>
              </w:rPr>
              <w:t>。</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zh-CN" w:eastAsia="zh-CN"/>
              </w:rPr>
              <w:t>3)</w:t>
            </w:r>
            <w:r>
              <w:rPr>
                <w:rFonts w:hint="eastAsia" w:asciiTheme="minorEastAsia" w:hAnsiTheme="minorEastAsia" w:eastAsiaTheme="minorEastAsia" w:cstheme="minorEastAsia"/>
                <w:b w:val="0"/>
                <w:bCs/>
                <w:color w:val="000000"/>
                <w:sz w:val="21"/>
                <w:szCs w:val="21"/>
                <w:lang w:val="en-US" w:eastAsia="zh-CN"/>
              </w:rPr>
              <w:t>固废处理率100%</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4）安全事故0</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5）火灾发生0</w:t>
            </w:r>
          </w:p>
          <w:p>
            <w:pPr>
              <w:spacing w:line="240" w:lineRule="exact"/>
              <w:rPr>
                <w:rFonts w:ascii="宋体" w:hAnsi="宋体"/>
                <w:b/>
                <w:color w:val="000000" w:themeColor="text1"/>
              </w:rPr>
            </w:pPr>
            <w:r>
              <w:rPr>
                <w:rFonts w:hint="eastAsia" w:asciiTheme="minorEastAsia" w:hAnsiTheme="minorEastAsia" w:eastAsiaTheme="minorEastAsia" w:cstheme="minorEastAsia"/>
                <w:b w:val="0"/>
                <w:bCs/>
                <w:color w:val="000000"/>
                <w:sz w:val="21"/>
                <w:szCs w:val="21"/>
                <w:lang w:val="en-US" w:eastAsia="zh-CN"/>
              </w:rPr>
              <w:t>管理目标按季度于2020年6</w:t>
            </w:r>
            <w:r>
              <w:rPr>
                <w:rFonts w:hint="eastAsia" w:asciiTheme="minorEastAsia" w:hAnsiTheme="minorEastAsia" w:eastAsiaTheme="minorEastAsia" w:cstheme="minorEastAsia"/>
                <w:b w:val="0"/>
                <w:bCs/>
                <w:color w:val="000000"/>
                <w:sz w:val="21"/>
                <w:szCs w:val="21"/>
                <w:lang w:val="zh-CN" w:eastAsia="zh-CN"/>
              </w:rPr>
              <w:t>月</w:t>
            </w:r>
            <w:r>
              <w:rPr>
                <w:rFonts w:hint="eastAsia" w:asciiTheme="minorEastAsia" w:hAnsiTheme="minorEastAsia" w:eastAsiaTheme="minorEastAsia" w:cstheme="minorEastAsia"/>
                <w:b w:val="0"/>
                <w:bCs/>
                <w:color w:val="000000"/>
                <w:sz w:val="21"/>
                <w:szCs w:val="21"/>
                <w:lang w:val="en-US" w:eastAsia="zh-CN"/>
              </w:rPr>
              <w:t>3</w:t>
            </w:r>
            <w:r>
              <w:rPr>
                <w:rFonts w:hint="eastAsia" w:asciiTheme="minorEastAsia" w:hAnsiTheme="minorEastAsia" w:eastAsiaTheme="minorEastAsia" w:cstheme="minorEastAsia"/>
                <w:b w:val="0"/>
                <w:bCs/>
                <w:color w:val="000000"/>
                <w:sz w:val="21"/>
                <w:szCs w:val="21"/>
                <w:lang w:val="zh-CN" w:eastAsia="zh-CN"/>
              </w:rPr>
              <w:t>0日</w:t>
            </w:r>
            <w:r>
              <w:rPr>
                <w:rFonts w:hint="eastAsia" w:asciiTheme="minorEastAsia" w:hAnsiTheme="minorEastAsia" w:eastAsiaTheme="minorEastAsia" w:cstheme="minorEastAsia"/>
                <w:b w:val="0"/>
                <w:bCs/>
                <w:color w:val="000000"/>
                <w:sz w:val="21"/>
                <w:szCs w:val="21"/>
                <w:lang w:val="en-US" w:eastAsia="zh-CN"/>
              </w:rPr>
              <w:t>进行，目标完成情况良好。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olor w:val="000000" w:themeColor="text1"/>
                <w:sz w:val="20"/>
                <w:szCs w:val="20"/>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Cs w:val="21"/>
              </w:rPr>
              <w:t>配备胜任的人员，包括所需求的资格：初中以上学历；手脚麻利、视力良好；经过培训、考核合格后上岗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公司无特种人员</w:t>
            </w:r>
            <w:r>
              <w:rPr>
                <w:rFonts w:hint="eastAsia" w:asciiTheme="minorEastAsia" w:hAnsiTheme="minorEastAsia" w:eastAsiaTheme="minorEastAsia" w:cstheme="minor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color w:val="auto"/>
              </w:rPr>
              <w:t xml:space="preserve"> </w:t>
            </w:r>
            <w:r>
              <w:rPr>
                <w:rFonts w:hint="eastAsia"/>
                <w:color w:val="auto"/>
                <w:szCs w:val="22"/>
              </w:rPr>
              <w:t>枕芯机 、打卷机  、电脑绗缝机、</w:t>
            </w:r>
            <w:r>
              <w:rPr>
                <w:rFonts w:hint="eastAsia"/>
                <w:bCs/>
                <w:color w:val="auto"/>
                <w:spacing w:val="10"/>
                <w:szCs w:val="22"/>
              </w:rPr>
              <w:t xml:space="preserve">锁边机、挂布机 </w:t>
            </w:r>
            <w:r>
              <w:rPr>
                <w:rFonts w:hint="eastAsia"/>
                <w:color w:val="auto"/>
              </w:rPr>
              <w:t>、</w:t>
            </w:r>
            <w:r>
              <w:rPr>
                <w:rFonts w:hint="eastAsia"/>
                <w:bCs/>
                <w:color w:val="auto"/>
                <w:spacing w:val="10"/>
                <w:szCs w:val="22"/>
              </w:rPr>
              <w:t>缝纫机  、电动裁布机  、包边机、</w:t>
            </w:r>
            <w:r>
              <w:rPr>
                <w:rFonts w:hint="eastAsia"/>
                <w:color w:val="auto"/>
                <w:szCs w:val="22"/>
              </w:rPr>
              <w:t>绣花机</w:t>
            </w:r>
            <w:r>
              <w:rPr>
                <w:rFonts w:hint="eastAsia" w:asciiTheme="minorEastAsia" w:hAnsiTheme="minorEastAsia" w:eastAsiaTheme="minorEastAsia" w:cstheme="minorEastAsia"/>
                <w:color w:val="auto"/>
                <w:szCs w:val="21"/>
              </w:rPr>
              <w:t>满足生产需求；设备精度保证，维修及时，有设备日常保养记录.</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ascii="宋体" w:hAnsi="宋体"/>
                <w:b/>
                <w:color w:val="000000" w:themeColor="text1"/>
                <w:sz w:val="20"/>
                <w:szCs w:val="20"/>
              </w:rPr>
            </w:pPr>
            <w:r>
              <w:rPr>
                <w:rFonts w:hint="eastAsia"/>
              </w:rPr>
              <w:t>域布局合理，场所卫生干净整洁，工作环境良好。车间</w:t>
            </w:r>
            <w:r>
              <w:rPr>
                <w:rFonts w:hint="eastAsia"/>
                <w:lang w:eastAsia="zh-CN"/>
              </w:rPr>
              <w:t>、库房</w:t>
            </w:r>
            <w:r>
              <w:rPr>
                <w:rFonts w:hint="eastAsia"/>
              </w:rPr>
              <w:t>产品分类排放，设备摆放有序。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rPr>
                <w:color w:val="auto"/>
                <w:highlight w:val="yellow"/>
              </w:rPr>
            </w:pPr>
            <w:r>
              <w:rPr>
                <w:rFonts w:hint="eastAsia" w:ascii="宋体" w:hAnsi="宋体"/>
                <w:color w:val="auto"/>
                <w:szCs w:val="21"/>
              </w:rPr>
              <w:t>建立有监视和测量设备台帐</w:t>
            </w:r>
            <w:r>
              <w:rPr>
                <w:rFonts w:hint="eastAsia" w:ascii="宋体" w:hAnsi="宋体"/>
                <w:color w:val="auto"/>
                <w:szCs w:val="21"/>
                <w:lang w:eastAsia="zh-CN"/>
              </w:rPr>
              <w:t>，</w:t>
            </w:r>
            <w:r>
              <w:rPr>
                <w:rFonts w:hint="eastAsia" w:ascii="宋体" w:hAnsi="宋体"/>
                <w:color w:val="auto"/>
                <w:szCs w:val="21"/>
              </w:rPr>
              <w:t>监视测量仪器有：</w:t>
            </w:r>
            <w:r>
              <w:rPr>
                <w:rFonts w:hint="eastAsia"/>
                <w:color w:val="auto"/>
                <w:lang w:eastAsia="zh-CN"/>
              </w:rPr>
              <w:t>钢卷尺</w:t>
            </w:r>
            <w:r>
              <w:rPr>
                <w:rFonts w:hint="eastAsia"/>
                <w:color w:val="auto"/>
              </w:rPr>
              <w:t>、台秤</w:t>
            </w:r>
            <w:r>
              <w:rPr>
                <w:rFonts w:hint="eastAsia"/>
                <w:color w:val="auto"/>
                <w:lang w:eastAsia="zh-CN"/>
              </w:rPr>
              <w:t>、色样</w:t>
            </w:r>
            <w:r>
              <w:rPr>
                <w:rFonts w:hint="eastAsia"/>
                <w:color w:val="auto"/>
              </w:rPr>
              <w:t>等，满足检验需求。</w:t>
            </w:r>
          </w:p>
          <w:p>
            <w:pPr>
              <w:spacing w:line="276" w:lineRule="auto"/>
              <w:ind w:right="17" w:rightChars="8"/>
              <w:rPr>
                <w:rFonts w:ascii="宋体" w:hAnsi="宋体"/>
                <w:color w:val="auto"/>
                <w:szCs w:val="21"/>
              </w:rPr>
            </w:pPr>
            <w:r>
              <w:rPr>
                <w:rFonts w:hint="eastAsia" w:ascii="宋体" w:hAnsi="宋体"/>
                <w:color w:val="auto"/>
                <w:szCs w:val="21"/>
              </w:rPr>
              <w:t>没有用于监测的计算机软件。</w:t>
            </w:r>
          </w:p>
          <w:p>
            <w:pPr>
              <w:spacing w:line="276" w:lineRule="auto"/>
              <w:ind w:right="17" w:rightChars="8"/>
              <w:rPr>
                <w:rFonts w:hint="eastAsia" w:ascii="宋体" w:hAnsi="宋体" w:eastAsia="宋体" w:cs="Times New Roman"/>
                <w:color w:val="auto"/>
                <w:szCs w:val="21"/>
              </w:rPr>
            </w:pPr>
            <w:r>
              <w:rPr>
                <w:rFonts w:hint="eastAsia" w:ascii="宋体" w:hAnsi="宋体"/>
                <w:color w:val="auto"/>
                <w:szCs w:val="21"/>
              </w:rPr>
              <w:t>提供了监视测量仪器的检测</w:t>
            </w:r>
            <w:r>
              <w:rPr>
                <w:rFonts w:hint="eastAsia" w:ascii="宋体" w:hAnsi="宋体" w:eastAsia="宋体" w:cs="Times New Roman"/>
                <w:color w:val="auto"/>
                <w:szCs w:val="21"/>
              </w:rPr>
              <w:t>或校准证书</w:t>
            </w:r>
          </w:p>
          <w:p>
            <w:pPr>
              <w:spacing w:line="276" w:lineRule="auto"/>
              <w:ind w:right="17" w:rightChars="8"/>
              <w:rPr>
                <w:rFonts w:hint="eastAsia" w:ascii="宋体" w:hAnsi="宋体" w:eastAsia="宋体" w:cs="Times New Roman"/>
                <w:color w:val="auto"/>
                <w:szCs w:val="21"/>
              </w:rPr>
            </w:pPr>
            <w:r>
              <w:rPr>
                <w:rFonts w:hint="eastAsia" w:ascii="宋体" w:hAnsi="宋体" w:eastAsia="宋体" w:cs="Times New Roman"/>
                <w:color w:val="auto"/>
                <w:szCs w:val="21"/>
              </w:rPr>
              <w:t>钢卷尺、电子秤             检定报告编号：电子秤：ZJLX820031356    检定日期：2020.7.3</w:t>
            </w:r>
          </w:p>
          <w:p>
            <w:pPr>
              <w:spacing w:line="276" w:lineRule="auto"/>
              <w:ind w:right="17" w:rightChars="8"/>
              <w:rPr>
                <w:rFonts w:hint="eastAsia" w:ascii="宋体" w:hAnsi="宋体" w:eastAsia="宋体" w:cs="Times New Roman"/>
                <w:color w:val="auto"/>
                <w:szCs w:val="21"/>
              </w:rPr>
            </w:pPr>
            <w:r>
              <w:rPr>
                <w:rFonts w:hint="eastAsia" w:ascii="宋体" w:hAnsi="宋体" w:eastAsia="宋体" w:cs="Times New Roman"/>
                <w:color w:val="auto"/>
                <w:szCs w:val="21"/>
              </w:rPr>
              <w:t>钢卷尺 电子编号：ZCCDX200811002  鉴定日期：2020.8.11</w:t>
            </w:r>
          </w:p>
          <w:p>
            <w:pPr>
              <w:spacing w:line="276" w:lineRule="auto"/>
              <w:ind w:right="17" w:rightChars="8"/>
              <w:rPr>
                <w:rFonts w:hint="eastAsia" w:ascii="宋体" w:hAnsi="宋体" w:eastAsia="宋体" w:cs="Times New Roman"/>
                <w:color w:val="auto"/>
                <w:szCs w:val="21"/>
              </w:rPr>
            </w:pPr>
            <w:r>
              <w:rPr>
                <w:rFonts w:hint="eastAsia" w:ascii="宋体" w:hAnsi="宋体" w:eastAsia="宋体" w:cs="Times New Roman"/>
                <w:color w:val="auto"/>
                <w:szCs w:val="21"/>
              </w:rPr>
              <w:t>该公司生产部负责监视和测量设备的管理。</w:t>
            </w:r>
          </w:p>
          <w:p>
            <w:pPr>
              <w:spacing w:line="276" w:lineRule="auto"/>
              <w:ind w:right="17" w:rightChars="8"/>
            </w:pPr>
            <w:r>
              <w:rPr>
                <w:rFonts w:hint="eastAsia" w:ascii="宋体" w:hAnsi="宋体" w:eastAsia="宋体" w:cs="Times New Roman"/>
                <w:color w:val="auto"/>
                <w:szCs w:val="21"/>
              </w:rPr>
              <w:t>使用过程中没有发生检测设备偏离校准状态现象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rPr>
                <w:szCs w:val="21"/>
              </w:rPr>
            </w:pPr>
            <w:r>
              <w:rPr>
                <w:rFonts w:hint="eastAsia"/>
                <w:szCs w:val="21"/>
              </w:rPr>
              <w:t>组织运行所需的知识从内、外部来源获取的有：</w:t>
            </w:r>
          </w:p>
          <w:p>
            <w:pPr>
              <w:pStyle w:val="13"/>
              <w:numPr>
                <w:ilvl w:val="0"/>
                <w:numId w:val="4"/>
              </w:numPr>
              <w:ind w:firstLineChars="0"/>
              <w:rPr>
                <w:szCs w:val="21"/>
              </w:rPr>
            </w:pPr>
            <w:r>
              <w:rPr>
                <w:rFonts w:hint="eastAsia"/>
                <w:szCs w:val="21"/>
              </w:rPr>
              <w:t>公司员工具有以往多年的工作经验（员工过去所有的）根据顾客要求提供满足顾客需求的产品信息等；</w:t>
            </w:r>
          </w:p>
          <w:p>
            <w:pPr>
              <w:pStyle w:val="13"/>
              <w:numPr>
                <w:ilvl w:val="0"/>
                <w:numId w:val="4"/>
              </w:numPr>
              <w:ind w:firstLineChars="0"/>
              <w:rPr>
                <w:szCs w:val="21"/>
              </w:rPr>
            </w:pPr>
            <w:r>
              <w:rPr>
                <w:rFonts w:hint="eastAsia"/>
                <w:szCs w:val="21"/>
              </w:rPr>
              <w:t>外部来源获取有：体系咨询老师传授的体系知识及所实施的内审员的培训；供方提供的产品介绍等。</w:t>
            </w:r>
          </w:p>
          <w:p>
            <w:pPr>
              <w:pStyle w:val="13"/>
              <w:numPr>
                <w:ilvl w:val="0"/>
                <w:numId w:val="4"/>
              </w:numPr>
              <w:ind w:firstLineChars="0"/>
              <w:rPr>
                <w:szCs w:val="21"/>
              </w:rPr>
            </w:pPr>
            <w:r>
              <w:rPr>
                <w:rFonts w:hint="eastAsia"/>
                <w:szCs w:val="21"/>
              </w:rPr>
              <w:t>获取及保持方法：老员工传帮带新员工；存档产品信息；</w:t>
            </w:r>
          </w:p>
          <w:p>
            <w:pPr>
              <w:pStyle w:val="13"/>
              <w:numPr>
                <w:ilvl w:val="0"/>
                <w:numId w:val="4"/>
              </w:numPr>
              <w:ind w:firstLineChars="0"/>
              <w:rPr>
                <w:rFonts w:ascii="宋体" w:hAnsi="宋体"/>
                <w:b/>
                <w:color w:val="000000" w:themeColor="text1"/>
                <w:sz w:val="20"/>
                <w:szCs w:val="20"/>
              </w:rPr>
            </w:pPr>
            <w:r>
              <w:rPr>
                <w:rFonts w:hint="eastAsia"/>
                <w:szCs w:val="21"/>
              </w:rPr>
              <w:t>为应对不断变化的需求和法阵趋势，组织策划进行体系标准及相关知识的再培训、招聘有专业知识的生产、销售人员等方式，对确定的知识及时更新；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Borders/>
          </w:tcPr>
          <w:p>
            <w:pPr>
              <w:rPr>
                <w:rFonts w:ascii="宋体" w:hAnsi="宋体"/>
                <w:b/>
                <w:color w:val="000000" w:themeColor="text1"/>
                <w:sz w:val="20"/>
                <w:szCs w:val="20"/>
              </w:rPr>
            </w:pPr>
            <w:r>
              <w:rPr>
                <w:rFonts w:hint="eastAsia"/>
                <w:color w:val="auto"/>
                <w:szCs w:val="22"/>
              </w:rPr>
              <w:t>环保</w:t>
            </w:r>
            <w:r>
              <w:rPr>
                <w:rFonts w:hint="eastAsia"/>
                <w:color w:val="auto"/>
                <w:szCs w:val="22"/>
                <w:lang w:eastAsia="zh-CN"/>
              </w:rPr>
              <w:t>和</w:t>
            </w:r>
            <w:r>
              <w:rPr>
                <w:rFonts w:hint="eastAsia"/>
                <w:color w:val="auto"/>
                <w:szCs w:val="22"/>
              </w:rPr>
              <w:t>职业健康安全设施：</w:t>
            </w:r>
            <w:r>
              <w:rPr>
                <w:rFonts w:hint="eastAsia"/>
                <w:color w:val="auto"/>
                <w:szCs w:val="22"/>
                <w:lang w:eastAsia="zh-CN"/>
              </w:rPr>
              <w:t>灭火器等消防设备、垃圾桶等；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rFonts w:hint="eastAsia"/>
              </w:rPr>
            </w:pPr>
            <w:r>
              <w:rPr>
                <w:rFonts w:hint="eastAsia"/>
              </w:rPr>
              <w:t>1. 针对方针的管理职责评审</w:t>
            </w:r>
          </w:p>
          <w:p>
            <w:pPr>
              <w:pStyle w:val="19"/>
            </w:pPr>
          </w:p>
          <w:p>
            <w:pPr>
              <w:spacing w:line="300" w:lineRule="exact"/>
              <w:ind w:left="1"/>
            </w:pPr>
            <w:r>
              <w:rPr>
                <w:rFonts w:hint="eastAsia"/>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ind w:left="159" w:hanging="159" w:hangingChars="79"/>
              <w:rPr>
                <w:rFonts w:hint="eastAsia"/>
                <w:b/>
                <w:color w:val="000000" w:themeColor="text1"/>
                <w:sz w:val="20"/>
                <w:szCs w:val="20"/>
              </w:rPr>
            </w:pPr>
            <w:r>
              <w:rPr>
                <w:rFonts w:hint="eastAsia"/>
                <w:b/>
                <w:color w:val="000000" w:themeColor="text1"/>
                <w:sz w:val="20"/>
                <w:szCs w:val="20"/>
              </w:rPr>
              <w:t>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pStyle w:val="19"/>
              <w:numPr>
                <w:numId w:val="0"/>
              </w:numPr>
            </w:pP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numPr>
                <w:ilvl w:val="0"/>
                <w:numId w:val="6"/>
              </w:numPr>
            </w:pPr>
            <w:r>
              <w:rPr>
                <w:rFonts w:hint="eastAsia"/>
              </w:rPr>
              <w:t>编制《生产和服务提供控制程序》，对生产过程进行控制</w:t>
            </w:r>
            <w:r>
              <w:rPr>
                <w:rFonts w:hint="eastAsia"/>
                <w:lang w:eastAsia="zh-CN"/>
              </w:rPr>
              <w:t>，识别了相关法律法规：</w:t>
            </w:r>
            <w:r>
              <w:rPr>
                <w:rFonts w:hint="eastAsia" w:asciiTheme="minorEastAsia" w:hAnsiTheme="minorEastAsia" w:eastAsiaTheme="minorEastAsia" w:cstheme="minorEastAsia"/>
                <w:b w:val="0"/>
                <w:bCs w:val="0"/>
                <w:color w:val="auto"/>
                <w:kern w:val="0"/>
                <w:sz w:val="21"/>
                <w:szCs w:val="21"/>
                <w:lang w:val="en-US" w:eastAsia="zh-CN" w:bidi="ar-SA"/>
              </w:rPr>
              <w:t>GB/T22797-2009《床单》FZ/T62026-2015《手工粗布床单》FZ/T62027-2015《磨毛面料床单》FZ/T62028-2015《针织床单》FZ/T43007-2011《丝织品被面》；</w:t>
            </w:r>
          </w:p>
          <w:p>
            <w:pPr>
              <w:numPr>
                <w:ilvl w:val="0"/>
                <w:numId w:val="6"/>
              </w:numP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rPr>
              <w:t>编制了工艺流</w:t>
            </w:r>
            <w:r>
              <w:rPr>
                <w:rFonts w:hint="eastAsia" w:asciiTheme="minorEastAsia" w:hAnsiTheme="minorEastAsia" w:eastAsiaTheme="minorEastAsia" w:cstheme="minorEastAsia"/>
                <w:b w:val="0"/>
                <w:bCs w:val="0"/>
                <w:color w:val="auto"/>
                <w:kern w:val="0"/>
                <w:sz w:val="21"/>
                <w:szCs w:val="21"/>
                <w:lang w:val="en-US" w:eastAsia="zh-CN" w:bidi="ar-SA"/>
              </w:rPr>
              <w:t>程、制定了管控措施：</w:t>
            </w:r>
          </w:p>
          <w:p>
            <w:pPr>
              <w:numPr>
                <w:ilvl w:val="0"/>
                <w:numId w:val="6"/>
              </w:numPr>
              <w:rPr>
                <w:rFonts w:hint="eastAsia" w:asciiTheme="minorEastAsia" w:hAnsiTheme="minorEastAsia" w:eastAsiaTheme="minorEastAsia" w:cstheme="minorEastAsia"/>
                <w:b w:val="0"/>
                <w:bCs w:val="0"/>
                <w:color w:val="auto"/>
                <w:kern w:val="0"/>
                <w:sz w:val="21"/>
                <w:szCs w:val="21"/>
                <w:lang w:val="zh-CN"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客户接触----合同评审----签订合同--填立项单---测量及设计---生产部排产--原材料采购(棉布、化纤布、化纤纤维)--裁剪--缝纫--检验--打包--出货</w:t>
            </w:r>
          </w:p>
          <w:p>
            <w:pPr>
              <w:numPr>
                <w:ilvl w:val="0"/>
                <w:numId w:val="6"/>
              </w:numP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销售：客户接触----合同评审----签订合同-----客户付款------入帐------采购-----客户提货-----验收</w:t>
            </w:r>
          </w:p>
          <w:p>
            <w:pPr>
              <w:numPr>
                <w:ilvl w:val="0"/>
                <w:numId w:val="6"/>
              </w:numP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zh-CN" w:eastAsia="zh-CN" w:bidi="ar-SA"/>
              </w:rPr>
              <w:t>需确认过程：设计、</w:t>
            </w:r>
            <w:r>
              <w:rPr>
                <w:rFonts w:hint="eastAsia" w:asciiTheme="minorEastAsia" w:hAnsiTheme="minorEastAsia" w:eastAsiaTheme="minorEastAsia" w:cstheme="minorEastAsia"/>
                <w:b w:val="0"/>
                <w:bCs w:val="0"/>
                <w:color w:val="auto"/>
                <w:kern w:val="0"/>
                <w:sz w:val="21"/>
                <w:szCs w:val="21"/>
                <w:lang w:val="en-US" w:eastAsia="zh-CN" w:bidi="ar-SA"/>
              </w:rPr>
              <w:t>裁剪</w:t>
            </w:r>
            <w:r>
              <w:rPr>
                <w:rFonts w:hint="eastAsia" w:asciiTheme="minorEastAsia" w:hAnsiTheme="minorEastAsia" w:eastAsiaTheme="minorEastAsia" w:cstheme="minorEastAsia"/>
                <w:b w:val="0"/>
                <w:bCs w:val="0"/>
                <w:color w:val="auto"/>
                <w:kern w:val="0"/>
                <w:sz w:val="21"/>
                <w:szCs w:val="21"/>
                <w:lang w:val="zh-CN" w:eastAsia="zh-CN" w:bidi="ar-SA"/>
              </w:rPr>
              <w:t>，有确认记录，见销售部</w:t>
            </w:r>
            <w:r>
              <w:rPr>
                <w:rFonts w:hint="eastAsia" w:asciiTheme="minorEastAsia" w:hAnsiTheme="minorEastAsia" w:eastAsiaTheme="minorEastAsia" w:cstheme="minorEastAsia"/>
                <w:b w:val="0"/>
                <w:bCs w:val="0"/>
                <w:color w:val="auto"/>
                <w:kern w:val="0"/>
                <w:sz w:val="21"/>
                <w:szCs w:val="21"/>
                <w:lang w:val="en-US" w:eastAsia="zh-CN" w:bidi="ar-SA"/>
              </w:rPr>
              <w:t>Q8.5.1</w:t>
            </w:r>
          </w:p>
          <w:p>
            <w:pPr>
              <w:numPr>
                <w:ilvl w:val="0"/>
                <w:numId w:val="6"/>
              </w:numP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人员配备：20</w:t>
            </w:r>
            <w:bookmarkStart w:id="21" w:name="_GoBack"/>
            <w:bookmarkEnd w:id="21"/>
            <w:r>
              <w:rPr>
                <w:rFonts w:hint="eastAsia" w:asciiTheme="minorEastAsia" w:hAnsiTheme="minorEastAsia" w:eastAsiaTheme="minorEastAsia" w:cstheme="minorEastAsia"/>
                <w:b w:val="0"/>
                <w:bCs w:val="0"/>
                <w:color w:val="auto"/>
                <w:kern w:val="0"/>
                <w:sz w:val="21"/>
                <w:szCs w:val="21"/>
                <w:lang w:val="en-US" w:eastAsia="zh-CN" w:bidi="ar-SA"/>
              </w:rPr>
              <w:t xml:space="preserve">人  </w:t>
            </w:r>
          </w:p>
          <w:p>
            <w:pPr>
              <w:numPr>
                <w:ilvl w:val="0"/>
                <w:numId w:val="6"/>
              </w:numP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生产设备： 枕芯机 、打卷机  、电脑绗缝机、锁边机、挂布机 、缝纫机  、电动裁布机  、包边机、绣花机</w:t>
            </w:r>
          </w:p>
          <w:p>
            <w:pPr>
              <w:numPr>
                <w:ilvl w:val="0"/>
                <w:numId w:val="6"/>
              </w:numP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检测设备主要有： 钢卷尺、电子秤             检定报告编号：电子秤：ZJLX820031356    检定日期：2020.7.3</w:t>
            </w:r>
          </w:p>
          <w:p>
            <w:pPr>
              <w:numPr>
                <w:ilvl w:val="0"/>
                <w:numId w:val="6"/>
              </w:numP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钢卷尺 电子编号：ZCCDX200811002  鉴定日期：2020.8.11</w:t>
            </w:r>
          </w:p>
          <w:p>
            <w:pPr>
              <w:numPr>
                <w:ilvl w:val="0"/>
                <w:numId w:val="6"/>
              </w:numP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编制了检验/验收文件：《成品检验规范》</w:t>
            </w:r>
          </w:p>
          <w:p>
            <w:pPr>
              <w:spacing w:line="360" w:lineRule="auto"/>
              <w:ind w:firstLine="420" w:firstLineChars="200"/>
            </w:pPr>
            <w:r>
              <w:rPr>
                <w:rFonts w:hint="eastAsia"/>
              </w:rPr>
              <w:t>遵照岗位职责、工艺流程、产品检验规程等作业指导文件实施过程控制。</w:t>
            </w:r>
          </w:p>
          <w:p>
            <w:r>
              <w:rPr>
                <w:rFonts w:hint="eastAsia"/>
              </w:rPr>
              <w:t>产品通过检验来对产品实现过程进行控制。生产过程中由项目负责人组织进行检查，项目完成后由客户进行验收，符合要求。</w:t>
            </w:r>
          </w:p>
          <w:p>
            <w:pPr>
              <w:ind w:firstLine="420" w:firstLineChars="200"/>
            </w:pPr>
            <w:r>
              <w:rPr>
                <w:rFonts w:hint="eastAsia"/>
              </w:rPr>
              <w:t>策划了生产计划、产品检验记录等，记录均保期1年。由生产部统一汇总存储。</w:t>
            </w:r>
          </w:p>
          <w:p>
            <w:pPr>
              <w:pStyle w:val="19"/>
              <w:ind w:firstLine="460" w:firstLineChars="200"/>
              <w:rPr>
                <w:rFonts w:hint="eastAsia"/>
                <w:lang w:eastAsia="zh-CN"/>
              </w:rPr>
            </w:pPr>
            <w:r>
              <w:rPr>
                <w:rFonts w:hint="eastAsia"/>
              </w:rPr>
              <w:t>外包过程：产品运输 。</w:t>
            </w:r>
            <w:r>
              <w:rPr>
                <w:rFonts w:hint="eastAsia"/>
                <w:lang w:eastAsia="zh-CN"/>
              </w:rPr>
              <w:t>见运输合同</w:t>
            </w:r>
          </w:p>
          <w:p>
            <w:pPr>
              <w:ind w:firstLine="420" w:firstLineChars="200"/>
            </w:pPr>
            <w:r>
              <w:rPr>
                <w:rFonts w:hint="eastAsia"/>
              </w:rPr>
              <w:t>策划适合组织体系运行需要，未发生更改，策划情况符合标准要求</w:t>
            </w:r>
          </w:p>
          <w:p>
            <w:pPr>
              <w:spacing w:line="240" w:lineRule="exact"/>
              <w:rPr>
                <w:b/>
                <w:color w:val="000000" w:themeColor="text1"/>
                <w:sz w:val="20"/>
                <w:szCs w:val="20"/>
              </w:rPr>
            </w:pPr>
            <w:r>
              <w:rPr>
                <w:rFonts w:hint="eastAsia"/>
              </w:rPr>
              <w:t>公司对产品质量目标、产品实现过程；产品所要求的验证、确认、监视、检验和试验活动以及产品接收准则进行了策划，并规定了所需的记录。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rPr>
                <w:color w:val="auto"/>
                <w:highlight w:val="none"/>
              </w:rPr>
            </w:pPr>
            <w:r>
              <w:rPr>
                <w:rFonts w:hint="eastAsia"/>
                <w:color w:val="auto"/>
              </w:rPr>
              <w:t>一、原材料检验控制：</w:t>
            </w:r>
          </w:p>
          <w:p>
            <w:pPr>
              <w:ind w:firstLine="420" w:firstLineChars="200"/>
              <w:rPr>
                <w:color w:val="auto"/>
              </w:rPr>
            </w:pPr>
            <w:r>
              <w:rPr>
                <w:rFonts w:hint="eastAsia"/>
                <w:color w:val="auto"/>
                <w:highlight w:val="none"/>
              </w:rPr>
              <w:t>经询问公司原材料由综合部采购，公司根据客户提供的样式、颜色，尺寸到库房领取物料，公司对相关产品的数量、型号进行检验；公司外购产品为原材料、日常办公消耗品等，公司对相应数量、规格型</w:t>
            </w:r>
            <w:r>
              <w:rPr>
                <w:rFonts w:hint="eastAsia"/>
                <w:color w:val="auto"/>
              </w:rPr>
              <w:t>号进行检验；详见8.4.2条款。</w:t>
            </w:r>
          </w:p>
          <w:p>
            <w:pPr>
              <w:numPr>
                <w:ilvl w:val="0"/>
                <w:numId w:val="7"/>
              </w:numPr>
              <w:rPr>
                <w:color w:val="auto"/>
              </w:rPr>
            </w:pPr>
            <w:r>
              <w:rPr>
                <w:rFonts w:hint="eastAsia"/>
                <w:color w:val="auto"/>
              </w:rPr>
              <w:t>过程检验控制</w:t>
            </w:r>
          </w:p>
          <w:p>
            <w:pPr>
              <w:ind w:firstLine="420" w:firstLineChars="200"/>
              <w:rPr>
                <w:color w:val="auto"/>
              </w:rPr>
            </w:pPr>
            <w:r>
              <w:rPr>
                <w:rFonts w:hint="eastAsia"/>
                <w:color w:val="auto"/>
              </w:rPr>
              <w:t xml:space="preserve">公司根据检验规范和检验标准、生产工艺的要求在各生产关键工序均设置了验收控制点。   </w:t>
            </w:r>
          </w:p>
          <w:p>
            <w:pPr>
              <w:pStyle w:val="19"/>
              <w:numPr>
                <w:ilvl w:val="0"/>
                <w:numId w:val="7"/>
              </w:numPr>
              <w:ind w:left="0" w:leftChars="0" w:firstLine="0" w:firstLine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实施放行、交付和交付后的活动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b w:val="0"/>
                <w:bCs/>
                <w:color w:val="auto"/>
                <w:sz w:val="21"/>
                <w:szCs w:val="21"/>
                <w:lang w:val="en-US" w:eastAsia="zh-CN"/>
              </w:rPr>
              <w:t>产品检验按客户要求，材料、颜色、尺寸、缝制质量针码均匀，行针流畅，细薄、细密适当、有无脱线进行检验。</w:t>
            </w:r>
          </w:p>
          <w:p>
            <w:pPr>
              <w:pStyle w:val="19"/>
              <w:numPr>
                <w:ilvl w:val="0"/>
                <w:numId w:val="0"/>
              </w:numPr>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Cs w:val="21"/>
                <w:lang w:val="en-US" w:eastAsia="zh-CN"/>
              </w:rPr>
              <w:t>抽床单检测报告、</w:t>
            </w:r>
            <w:r>
              <w:rPr>
                <w:rFonts w:hint="eastAsia" w:asciiTheme="minorEastAsia" w:hAnsiTheme="minorEastAsia" w:eastAsiaTheme="minorEastAsia" w:cstheme="minorEastAsia"/>
                <w:sz w:val="21"/>
                <w:szCs w:val="21"/>
                <w:lang w:eastAsia="zh-CN"/>
              </w:rPr>
              <w:t>被罩检测报告。</w:t>
            </w:r>
          </w:p>
          <w:p>
            <w:pPr>
              <w:ind w:firstLine="420" w:firstLineChars="200"/>
              <w:rPr>
                <w:color w:val="auto"/>
              </w:rPr>
            </w:pPr>
            <w:r>
              <w:rPr>
                <w:rFonts w:hint="eastAsia"/>
                <w:color w:val="auto"/>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color w:val="auto"/>
              </w:rPr>
            </w:pPr>
            <w:r>
              <w:rPr>
                <w:rFonts w:hint="eastAsia"/>
                <w:color w:val="auto"/>
              </w:rPr>
              <w:t>公司对特殊放行或紧急放行情况予以界定，原则上，一般情况下不许特殊放行或紧急放行；若特殊情况下，要实施紧急放行时，一定要得到管理层许可、公司总经理批准，适用时得到顾客的批准后方可实施。体系运行至今尚未发生特殊放行或紧急放行的情况。</w:t>
            </w:r>
          </w:p>
          <w:p>
            <w:pPr>
              <w:spacing w:line="240" w:lineRule="exact"/>
              <w:rPr>
                <w:b/>
                <w:color w:val="000000" w:themeColor="text1"/>
                <w:sz w:val="20"/>
                <w:szCs w:val="20"/>
              </w:rPr>
            </w:pPr>
            <w:r>
              <w:rPr>
                <w:rFonts w:hint="eastAsia" w:asciiTheme="minorEastAsia" w:hAnsiTheme="minorEastAsia" w:eastAsiaTheme="minorEastAsia" w:cstheme="minorEastAsia"/>
                <w:color w:val="auto"/>
                <w:szCs w:val="21"/>
              </w:rPr>
              <w:t>基本符合</w:t>
            </w:r>
            <w:r>
              <w:rPr>
                <w:rFonts w:hint="eastAsia" w:asciiTheme="minorEastAsia" w:hAnsiTheme="minorEastAsia" w:eastAsiaTheme="minorEastAsia" w:cstheme="minor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jc w:val="left"/>
              <w:rPr>
                <w:rFonts w:hint="eastAsia" w:eastAsia="宋体"/>
                <w:b/>
                <w:color w:val="000000" w:themeColor="text1"/>
                <w:sz w:val="20"/>
                <w:szCs w:val="20"/>
                <w:lang w:eastAsia="zh-CN"/>
              </w:rPr>
            </w:pPr>
            <w:r>
              <w:rPr>
                <w:rFonts w:hint="eastAsia"/>
                <w:b/>
                <w:color w:val="000000" w:themeColor="text1"/>
                <w:sz w:val="20"/>
                <w:szCs w:val="20"/>
                <w:lang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制定了SJR-CX-2019-22</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不合格输出控制程序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SJR-CX-2019-25</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顾客满意度测量控制程序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SJR-CX-2019-26</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内部审核控制程序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SJR-CX-2019-27</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管理评审控制程序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SJR-CX-2019-28</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改进控制程序</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p>
            <w:pPr>
              <w:spacing w:line="240" w:lineRule="exact"/>
              <w:rPr>
                <w:b/>
                <w:color w:val="000000" w:themeColor="text1"/>
                <w:sz w:val="20"/>
                <w:szCs w:val="20"/>
              </w:rPr>
            </w:pPr>
            <w:r>
              <w:rPr>
                <w:rFonts w:hint="eastAsia" w:asciiTheme="minorEastAsia" w:hAnsiTheme="minorEastAsia" w:eastAsiaTheme="minorEastAsia" w:cstheme="minorEastAsia"/>
                <w:b w:val="0"/>
                <w:bCs w:val="0"/>
                <w:color w:val="auto"/>
                <w:sz w:val="21"/>
                <w:szCs w:val="21"/>
                <w:lang w:val="en-US" w:eastAsia="zh-CN"/>
              </w:rPr>
              <w:t>为对公司的重大环境和危险因素有关的运行与活动进行有效控制，确保其符合环境和职业健康安全方针、目标与指标的要求以及适用的法律和其他要求，以实现环境和职业健康安全管理体系的不断改进。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Borders/>
            <w:vAlign w:val="top"/>
          </w:tcPr>
          <w:p>
            <w:pPr>
              <w:numPr>
                <w:ilvl w:val="0"/>
                <w:numId w:val="8"/>
              </w:numPr>
              <w:spacing w:line="240" w:lineRule="exact"/>
              <w:rPr>
                <w:rFonts w:hint="eastAsia" w:ascii="Times New Roman" w:hAnsi="Times New Roman" w:eastAsia="宋体" w:cs="Times New Roman"/>
                <w:b/>
                <w:color w:val="000000" w:themeColor="text1"/>
                <w:sz w:val="20"/>
                <w:szCs w:val="20"/>
              </w:rPr>
            </w:pPr>
            <w:r>
              <w:rPr>
                <w:rFonts w:hint="eastAsia"/>
                <w:b/>
                <w:color w:val="000000" w:themeColor="text1"/>
                <w:sz w:val="20"/>
                <w:szCs w:val="20"/>
              </w:rPr>
              <w:t>EMS组织</w:t>
            </w:r>
            <w:r>
              <w:rPr>
                <w:rFonts w:hint="eastAsia" w:ascii="Times New Roman" w:hAnsi="Times New Roman" w:eastAsia="宋体" w:cs="Times New Roman"/>
                <w:b/>
                <w:color w:val="000000" w:themeColor="text1"/>
                <w:sz w:val="20"/>
                <w:szCs w:val="20"/>
              </w:rPr>
              <w:t>对重要环境因素实施控制的结果</w:t>
            </w:r>
          </w:p>
          <w:p>
            <w:pPr>
              <w:numPr>
                <w:ilvl w:val="0"/>
                <w:numId w:val="8"/>
              </w:num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OHS 组织对不可接受风险实施控制的结果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sz w:val="21"/>
                <w:szCs w:val="21"/>
                <w:lang w:val="en-US" w:eastAsia="zh-CN"/>
              </w:rPr>
              <w:t>重要环境因素：</w:t>
            </w:r>
            <w:r>
              <w:rPr>
                <w:rFonts w:hint="eastAsia" w:asciiTheme="minorEastAsia" w:hAnsiTheme="minorEastAsia" w:eastAsiaTheme="minorEastAsia" w:cstheme="minorEastAsia"/>
                <w:color w:val="auto"/>
                <w:sz w:val="21"/>
                <w:szCs w:val="21"/>
              </w:rPr>
              <w:t>火灾的发生</w:t>
            </w:r>
            <w:r>
              <w:rPr>
                <w:rFonts w:hint="eastAsia" w:asciiTheme="minorEastAsia" w:hAnsiTheme="minorEastAsia" w:eastAsiaTheme="minorEastAsia" w:cstheme="minorEastAsia"/>
                <w:color w:val="auto"/>
                <w:sz w:val="21"/>
                <w:szCs w:val="21"/>
                <w:lang w:val="en-US" w:eastAsia="zh-CN"/>
              </w:rPr>
              <w:t>、触电、机械噪声、粉尘、</w:t>
            </w:r>
            <w:r>
              <w:rPr>
                <w:rFonts w:hint="eastAsia"/>
                <w:lang w:val="en-US" w:eastAsia="zh-CN"/>
              </w:rPr>
              <w:t>固废</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w:t>
            </w:r>
          </w:p>
          <w:p>
            <w:pPr>
              <w:ind w:firstLine="420" w:firstLineChars="200"/>
              <w:rPr>
                <w:rFonts w:hint="eastAsia" w:asciiTheme="minorEastAsia" w:hAnsiTheme="minorEastAsia" w:eastAsiaTheme="minorEastAsia" w:cstheme="minorEastAsia"/>
                <w:color w:val="auto"/>
                <w:sz w:val="21"/>
                <w:szCs w:val="21"/>
              </w:rPr>
            </w:pPr>
            <w:r>
              <w:rPr>
                <w:rFonts w:hint="eastAsia"/>
                <w:bCs/>
                <w:szCs w:val="21"/>
              </w:rPr>
              <w:t>对不可</w:t>
            </w:r>
            <w:r>
              <w:rPr>
                <w:rFonts w:hint="eastAsia"/>
                <w:bCs/>
                <w:color w:val="auto"/>
                <w:szCs w:val="21"/>
              </w:rPr>
              <w:t>接受风险</w:t>
            </w:r>
            <w:r>
              <w:rPr>
                <w:rFonts w:hint="eastAsia"/>
                <w:bCs/>
                <w:color w:val="auto"/>
                <w:szCs w:val="21"/>
                <w:lang w:eastAsia="zh-CN"/>
              </w:rPr>
              <w:t>：</w:t>
            </w:r>
            <w:r>
              <w:rPr>
                <w:rFonts w:hint="eastAsia" w:asciiTheme="minorEastAsia" w:hAnsiTheme="minorEastAsia" w:eastAsiaTheme="minorEastAsia" w:cstheme="minorEastAsia"/>
                <w:color w:val="auto"/>
                <w:sz w:val="21"/>
                <w:szCs w:val="21"/>
              </w:rPr>
              <w:t>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意外伤害、疫情、机械噪声、粉尘伤害、机械伤害等，</w:t>
            </w:r>
            <w:r>
              <w:rPr>
                <w:rFonts w:hint="eastAsia"/>
                <w:bCs/>
                <w:color w:val="auto"/>
                <w:szCs w:val="21"/>
              </w:rPr>
              <w:t>进行了识别和控制。</w:t>
            </w:r>
          </w:p>
          <w:p>
            <w:pPr>
              <w:ind w:firstLine="420" w:firstLineChars="200"/>
              <w:rPr>
                <w:rFonts w:hint="eastAsia" w:asciiTheme="minorEastAsia" w:hAnsiTheme="minorEastAsia" w:eastAsiaTheme="minorEastAsia" w:cstheme="minorEastAsia"/>
                <w:color w:val="auto"/>
                <w:sz w:val="21"/>
                <w:szCs w:val="21"/>
              </w:rPr>
            </w:pPr>
            <w:r>
              <w:rPr>
                <w:rFonts w:hint="eastAsia"/>
                <w:bCs/>
                <w:szCs w:val="21"/>
              </w:rPr>
              <w:t>对相关方进行了必要告知</w:t>
            </w:r>
            <w:r>
              <w:rPr>
                <w:rFonts w:hint="eastAsia"/>
                <w:bCs/>
                <w:szCs w:val="21"/>
                <w:lang w:eastAsia="zh-CN"/>
              </w:rPr>
              <w:t>，</w:t>
            </w:r>
            <w:r>
              <w:rPr>
                <w:rFonts w:hint="eastAsia" w:asciiTheme="minorEastAsia" w:hAnsiTheme="minorEastAsia" w:eastAsiaTheme="minorEastAsia" w:cstheme="minorEastAsia"/>
                <w:color w:val="auto"/>
                <w:sz w:val="21"/>
                <w:szCs w:val="21"/>
              </w:rPr>
              <w:t>定了环境因素和危险源识别评价与控制程序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环境和职业健康安全法律法规控制程序</w:t>
            </w:r>
            <w:r>
              <w:rPr>
                <w:rFonts w:hint="eastAsia" w:asciiTheme="minorEastAsia" w:hAnsiTheme="minorEastAsia" w:eastAsiaTheme="minorEastAsia" w:cstheme="minorEastAsia"/>
                <w:color w:val="auto"/>
                <w:sz w:val="21"/>
                <w:szCs w:val="21"/>
                <w:lang w:eastAsia="zh-CN"/>
              </w:rPr>
              <w:t>、合规性评价控制程序、监视和测量控制程序</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，每年对公司适用的合规义务进行识别更新并定期评价、检查。</w:t>
            </w:r>
          </w:p>
          <w:p>
            <w:pPr>
              <w:spacing w:line="240" w:lineRule="exact"/>
              <w:rPr>
                <w:rFonts w:hint="eastAsia" w:eastAsia="宋体"/>
                <w:b/>
                <w:color w:val="FF0000"/>
                <w:sz w:val="20"/>
                <w:szCs w:val="20"/>
                <w:lang w:eastAsia="zh-CN"/>
              </w:rPr>
            </w:pPr>
            <w:r>
              <w:rPr>
                <w:rFonts w:hint="eastAsia" w:asciiTheme="minorEastAsia" w:hAnsiTheme="minorEastAsia" w:eastAsiaTheme="minorEastAsia" w:cstheme="minorEastAsia"/>
                <w:color w:val="auto"/>
                <w:sz w:val="21"/>
                <w:szCs w:val="21"/>
              </w:rPr>
              <w:t>经公司评价，组织策划的措施基本能够满足风险和机遇应对需要，能够与识别的风险和机遇对产品符合性的潜在影响相适应，基本满足标准要求。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编制了《应急准备和响应控制程序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eastAsia="zh-CN"/>
              </w:rPr>
              <w:t>SJR</w:t>
            </w:r>
            <w:r>
              <w:rPr>
                <w:rFonts w:hint="eastAsia" w:asciiTheme="minorEastAsia" w:hAnsiTheme="minorEastAsia" w:eastAsiaTheme="minorEastAsia" w:cstheme="minorEastAsia"/>
                <w:sz w:val="21"/>
                <w:szCs w:val="21"/>
              </w:rPr>
              <w:t>-CX-16》，确定的紧急情况有：火灾、触电、机械伤害、人身伤害等，提供了紧急情况的《应急预案》，包括安全生产事故应急救援预案、触电应急预案、火灾爆炸应急救援预案、机械伤害应急预案、防疫应急预案等。</w:t>
            </w:r>
          </w:p>
          <w:p>
            <w:pPr>
              <w:autoSpaceDE w:val="0"/>
              <w:autoSpaceDN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eastAsia="zh-CN"/>
              </w:rPr>
              <w:t>2020年5月10日</w:t>
            </w:r>
            <w:r>
              <w:rPr>
                <w:rFonts w:hint="eastAsia" w:asciiTheme="minorEastAsia" w:hAnsiTheme="minorEastAsia" w:eastAsiaTheme="minorEastAsia" w:cstheme="minorEastAsia"/>
                <w:sz w:val="21"/>
                <w:szCs w:val="21"/>
              </w:rPr>
              <w:t>的火灾消防演习通知和演习评审记录，记录：</w:t>
            </w:r>
            <w:r>
              <w:rPr>
                <w:rFonts w:hint="eastAsia" w:asciiTheme="minorEastAsia" w:hAnsiTheme="minorEastAsia" w:eastAsiaTheme="minorEastAsia" w:cstheme="minorEastAsia"/>
                <w:sz w:val="21"/>
                <w:szCs w:val="21"/>
                <w:lang w:val="en-US" w:eastAsia="zh-CN"/>
              </w:rPr>
              <w:t>左传英</w:t>
            </w:r>
            <w:r>
              <w:rPr>
                <w:rFonts w:hint="eastAsia" w:asciiTheme="minorEastAsia" w:hAnsiTheme="minorEastAsia" w:eastAsiaTheme="minorEastAsia" w:cstheme="minorEastAsia"/>
                <w:sz w:val="21"/>
                <w:szCs w:val="21"/>
              </w:rPr>
              <w:t xml:space="preserve">  日期：</w:t>
            </w:r>
            <w:r>
              <w:rPr>
                <w:rFonts w:hint="eastAsia" w:asciiTheme="minorEastAsia" w:hAnsiTheme="minorEastAsia" w:eastAsiaTheme="minorEastAsia" w:cstheme="minorEastAsia"/>
                <w:sz w:val="21"/>
                <w:szCs w:val="21"/>
                <w:lang w:eastAsia="zh-CN"/>
              </w:rPr>
              <w:t>2020年5月10日</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远程</w:t>
            </w:r>
            <w:r>
              <w:rPr>
                <w:rFonts w:hint="eastAsia" w:asciiTheme="minorEastAsia" w:hAnsiTheme="minorEastAsia" w:eastAsiaTheme="minorEastAsia" w:cstheme="minorEastAsia"/>
                <w:sz w:val="21"/>
                <w:szCs w:val="21"/>
              </w:rPr>
              <w:t>查看办公区域内有配备消防设施，状态有效。</w:t>
            </w:r>
          </w:p>
          <w:p>
            <w:pPr>
              <w:pStyle w:val="4"/>
              <w:kinsoku w:val="0"/>
              <w:overflowPunct w:val="0"/>
              <w:spacing w:before="9"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查到“2020年消防器材检查”，2020年1.12日、</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2.15日、3.20日、4.17日、5.13日对各区域的灭火器进行了检查，检查结果正常，检查人汤林生</w:t>
            </w:r>
            <w:r>
              <w:rPr>
                <w:rFonts w:hint="eastAsia" w:asciiTheme="minorEastAsia" w:hAnsiTheme="minorEastAsia" w:eastAsiaTheme="minorEastAsia" w:cstheme="minorEastAsia"/>
                <w:color w:val="0000FF"/>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针对新冠肺炎疫情公司制定了管理制度和应急预案，应急措施包括口罩发放、消杀消毒等。</w:t>
            </w:r>
          </w:p>
          <w:p>
            <w:pPr>
              <w:spacing w:line="240" w:lineRule="exact"/>
              <w:rPr>
                <w:b/>
                <w:color w:val="000000" w:themeColor="text1"/>
                <w:spacing w:val="-4"/>
                <w:sz w:val="20"/>
                <w:szCs w:val="20"/>
              </w:rPr>
            </w:pPr>
            <w:r>
              <w:rPr>
                <w:rFonts w:hint="eastAsia" w:asciiTheme="minorEastAsia" w:hAnsiTheme="minorEastAsia" w:eastAsiaTheme="minorEastAsia" w:cstheme="minorEastAsia"/>
                <w:sz w:val="21"/>
                <w:szCs w:val="21"/>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ind w:firstLine="322" w:firstLineChars="200"/>
              <w:rPr>
                <w:b/>
                <w:color w:val="000000" w:themeColor="text1"/>
                <w:spacing w:val="-20"/>
                <w:sz w:val="20"/>
                <w:szCs w:val="20"/>
              </w:rPr>
            </w:pPr>
            <w:r>
              <w:rPr>
                <w:rFonts w:hint="eastAsia"/>
                <w:b/>
                <w:color w:val="000000" w:themeColor="text1"/>
                <w:spacing w:val="-20"/>
                <w:sz w:val="20"/>
                <w:szCs w:val="20"/>
                <w:lang w:eastAsia="zh-CN"/>
              </w:rPr>
              <w:t>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auto"/>
        </w:rPr>
      </w:pPr>
      <w:r>
        <w:rPr>
          <w:rFonts w:hint="eastAsia"/>
          <w:b/>
          <w:color w:val="auto"/>
          <w:sz w:val="26"/>
          <w:szCs w:val="26"/>
        </w:rPr>
        <w:t>审核组组长（签名）：</w:t>
      </w:r>
      <w:r>
        <w:rPr>
          <w:color w:val="auto"/>
        </w:rP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auto"/>
          <w:sz w:val="26"/>
          <w:szCs w:val="26"/>
        </w:rPr>
      </w:pPr>
      <w:r>
        <w:rPr>
          <w:rFonts w:hint="eastAsia"/>
          <w:b/>
          <w:color w:val="auto"/>
          <w:sz w:val="26"/>
          <w:szCs w:val="26"/>
        </w:rPr>
        <w:t>审核组组员（签名）：</w:t>
      </w:r>
      <w:r>
        <w:rPr>
          <w:rFonts w:ascii="宋体" w:hAnsi="宋体"/>
          <w:color w:val="auto"/>
          <w:kern w:val="2"/>
          <w:sz w:val="24"/>
          <w:lang w:val="en-US" w:eastAsia="zh-CN" w:bidi="ar-SA"/>
        </w:rPr>
        <w:drawing>
          <wp:inline distT="0" distB="0" distL="114300" distR="114300">
            <wp:extent cx="472440" cy="333375"/>
            <wp:effectExtent l="0" t="0" r="3810" b="9525"/>
            <wp:docPr id="10"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03bf272f255b2858840d3e70f53374"/>
                    <pic:cNvPicPr>
                      <a:picLocks noChangeAspect="1"/>
                    </pic:cNvPicPr>
                  </pic:nvPicPr>
                  <pic:blipFill>
                    <a:blip r:embed="rId7"/>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color w:val="auto"/>
          <w:kern w:val="2"/>
          <w:sz w:val="24"/>
          <w:lang w:val="en-US" w:eastAsia="zh-CN" w:bidi="ar-SA"/>
        </w:rPr>
        <w:t xml:space="preserve">  </w:t>
      </w:r>
      <w:r>
        <w:rPr>
          <w:color w:val="auto"/>
        </w:rPr>
        <w:drawing>
          <wp:inline distT="0" distB="0" distL="114300" distR="114300">
            <wp:extent cx="635635" cy="287020"/>
            <wp:effectExtent l="0" t="0" r="12065" b="177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lum contrast="48000"/>
                    </a:blip>
                    <a:stretch>
                      <a:fillRect/>
                    </a:stretch>
                  </pic:blipFill>
                  <pic:spPr>
                    <a:xfrm>
                      <a:off x="0" y="0"/>
                      <a:ext cx="635635" cy="287020"/>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476885" cy="316865"/>
            <wp:effectExtent l="0" t="0" r="18415" b="698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lum contrast="78000"/>
                    </a:blip>
                    <a:stretch>
                      <a:fillRect/>
                    </a:stretch>
                  </pic:blipFill>
                  <pic:spPr>
                    <a:xfrm>
                      <a:off x="0" y="0"/>
                      <a:ext cx="476885" cy="316865"/>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414020" cy="346710"/>
            <wp:effectExtent l="0" t="0" r="5080" b="1524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rcRect l="11333" t="24649" r="6476" b="11929"/>
                    <a:stretch>
                      <a:fillRect/>
                    </a:stretch>
                  </pic:blipFill>
                  <pic:spPr>
                    <a:xfrm>
                      <a:off x="0" y="0"/>
                      <a:ext cx="414020" cy="346710"/>
                    </a:xfrm>
                    <a:prstGeom prst="rect">
                      <a:avLst/>
                    </a:prstGeom>
                    <a:noFill/>
                    <a:ln>
                      <a:noFill/>
                    </a:ln>
                  </pic:spPr>
                </pic:pic>
              </a:graphicData>
            </a:graphic>
          </wp:inline>
        </w:drawing>
      </w:r>
    </w:p>
    <w:p>
      <w:pPr>
        <w:snapToGrid w:val="0"/>
        <w:spacing w:line="360" w:lineRule="auto"/>
        <w:ind w:firstLine="3080" w:firstLineChars="1461"/>
        <w:rPr>
          <w:rFonts w:hint="default" w:eastAsia="宋体"/>
          <w:b/>
          <w:color w:val="auto"/>
          <w:sz w:val="16"/>
          <w:szCs w:val="16"/>
          <w:lang w:val="en-US" w:eastAsia="zh-CN"/>
        </w:rPr>
      </w:pPr>
      <w:r>
        <w:rPr>
          <w:rFonts w:hint="eastAsia"/>
          <w:b/>
          <w:color w:val="auto"/>
        </w:rPr>
        <w:t>日期</w:t>
      </w:r>
      <w:r>
        <w:rPr>
          <w:rFonts w:hint="eastAsia"/>
          <w:b/>
          <w:color w:val="auto"/>
          <w:lang w:eastAsia="zh-CN"/>
        </w:rPr>
        <w:t>：</w:t>
      </w:r>
      <w:r>
        <w:rPr>
          <w:rFonts w:hint="eastAsia" w:asciiTheme="minorEastAsia" w:hAnsiTheme="minorEastAsia" w:eastAsiaTheme="minorEastAsia"/>
          <w:b/>
          <w:color w:val="auto"/>
          <w:lang w:val="en-US" w:eastAsia="zh-CN"/>
        </w:rPr>
        <w:t>2020年9月5日</w:t>
      </w:r>
    </w:p>
    <w:p>
      <w:pPr>
        <w:spacing w:before="156" w:beforeLines="50" w:after="156" w:afterLines="50"/>
        <w:ind w:left="1" w:leftChars="-405" w:hanging="851" w:hangingChars="326"/>
        <w:rPr>
          <w:b/>
          <w:color w:val="auto"/>
          <w:sz w:val="26"/>
          <w:szCs w:val="26"/>
        </w:rPr>
      </w:pPr>
      <w:r>
        <w:rPr>
          <w:rFonts w:hint="eastAsia"/>
          <w:b/>
          <w:color w:val="auto"/>
          <w:sz w:val="26"/>
          <w:szCs w:val="26"/>
        </w:rPr>
        <w:t>十五、纠正措施验证结论：</w:t>
      </w:r>
    </w:p>
    <w:p>
      <w:pPr>
        <w:snapToGrid w:val="0"/>
        <w:spacing w:before="156" w:beforeLines="50" w:after="156" w:afterLines="50" w:line="360" w:lineRule="auto"/>
        <w:ind w:left="0" w:leftChars="-202" w:hanging="424" w:hangingChars="201"/>
        <w:rPr>
          <w:b/>
          <w:color w:val="auto"/>
          <w:sz w:val="26"/>
          <w:szCs w:val="26"/>
        </w:rPr>
      </w:pPr>
      <w:r>
        <w:rPr>
          <w:rFonts w:hint="eastAsia"/>
          <w:b/>
          <w:bCs/>
          <w:color w:val="auto"/>
          <w:szCs w:val="21"/>
        </w:rPr>
        <w:t>1.  审核中发现的</w:t>
      </w:r>
      <w:r>
        <w:rPr>
          <w:rFonts w:hint="eastAsia"/>
          <w:b/>
          <w:color w:val="auto"/>
          <w:spacing w:val="-10"/>
          <w:szCs w:val="21"/>
        </w:rPr>
        <w:sym w:font="Wingdings 2" w:char="0052"/>
      </w:r>
      <w:r>
        <w:rPr>
          <w:rFonts w:hint="eastAsia"/>
          <w:b/>
          <w:color w:val="auto"/>
          <w:szCs w:val="21"/>
        </w:rPr>
        <w:t>QMS(</w:t>
      </w:r>
      <w:r>
        <w:rPr>
          <w:rFonts w:hint="eastAsia"/>
          <w:b/>
          <w:color w:val="auto"/>
          <w:szCs w:val="21"/>
          <w:lang w:val="en-US" w:eastAsia="zh-CN"/>
        </w:rPr>
        <w:t>2</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)个严重不符合，</w:t>
      </w:r>
      <w:r>
        <w:rPr>
          <w:rFonts w:hint="eastAsia"/>
          <w:b/>
          <w:color w:val="auto"/>
          <w:spacing w:val="-10"/>
          <w:szCs w:val="21"/>
        </w:rPr>
        <w:sym w:font="Wingdings 2" w:char="0052"/>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color w:val="auto"/>
          <w:spacing w:val="-10"/>
          <w:szCs w:val="21"/>
        </w:rPr>
        <w:sym w:font="Wingdings 2" w:char="0052"/>
      </w:r>
      <w:r>
        <w:rPr>
          <w:rFonts w:hint="eastAsia"/>
          <w:b/>
          <w:color w:val="auto"/>
          <w:szCs w:val="21"/>
        </w:rPr>
        <w:t>EMS(</w:t>
      </w:r>
      <w:r>
        <w:rPr>
          <w:rFonts w:hint="eastAsia"/>
          <w:b/>
          <w:color w:val="auto"/>
          <w:szCs w:val="21"/>
          <w:lang w:val="en-US" w:eastAsia="zh-CN"/>
        </w:rPr>
        <w:t>0</w:t>
      </w:r>
      <w:r>
        <w:rPr>
          <w:rFonts w:hint="eastAsia"/>
          <w:b/>
          <w:color w:val="auto"/>
          <w:szCs w:val="21"/>
        </w:rPr>
        <w:t xml:space="preserve">)个一般不符合，(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color w:val="auto"/>
          <w:spacing w:val="-10"/>
          <w:szCs w:val="21"/>
        </w:rPr>
        <w:sym w:font="Wingdings 2" w:char="0052"/>
      </w:r>
      <w:r>
        <w:rPr>
          <w:rFonts w:hint="eastAsia"/>
          <w:b/>
          <w:color w:val="auto"/>
          <w:szCs w:val="21"/>
        </w:rPr>
        <w:t xml:space="preserve">OHSMS( </w:t>
      </w:r>
      <w:r>
        <w:rPr>
          <w:rFonts w:hint="eastAsia"/>
          <w:b/>
          <w:color w:val="auto"/>
          <w:szCs w:val="21"/>
          <w:lang w:val="en-US" w:eastAsia="zh-CN"/>
        </w:rPr>
        <w:t>0</w:t>
      </w:r>
      <w:r>
        <w:rPr>
          <w:rFonts w:hint="eastAsia"/>
          <w:b/>
          <w:color w:val="auto"/>
          <w:szCs w:val="21"/>
        </w:rPr>
        <w:t xml:space="preserve">)个一般不符合，(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u w:val="single"/>
        </w:rPr>
      </w:pPr>
      <w:r>
        <w:rPr>
          <w:rFonts w:hint="eastAsia"/>
          <w:b/>
          <w:color w:val="auto"/>
          <w:szCs w:val="21"/>
        </w:rPr>
        <w:t>存在问题说明及意见：</w:t>
      </w:r>
    </w:p>
    <w:p>
      <w:pPr>
        <w:spacing w:after="156" w:afterLines="50"/>
        <w:ind w:firstLine="422" w:firstLineChars="200"/>
        <w:rPr>
          <w:b/>
          <w:color w:val="FF0000"/>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color w:val="auto"/>
        </w:rPr>
        <w:drawing>
          <wp:inline distT="0" distB="0" distL="114300" distR="114300">
            <wp:extent cx="626745" cy="274320"/>
            <wp:effectExtent l="0" t="0" r="1905" b="1143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r>
        <w:rPr>
          <w:rFonts w:hint="eastAsia"/>
          <w:b/>
          <w:color w:val="000000" w:themeColor="text1"/>
          <w:szCs w:val="21"/>
        </w:rPr>
        <w:t xml:space="preserve">                             日期:  </w:t>
      </w:r>
      <w:r>
        <w:rPr>
          <w:rFonts w:hint="eastAsia" w:asciiTheme="minorEastAsia" w:hAnsiTheme="minorEastAsia" w:eastAsiaTheme="minorEastAsia"/>
          <w:b/>
          <w:color w:val="auto"/>
          <w:lang w:val="en-US" w:eastAsia="zh-CN"/>
        </w:rPr>
        <w:t>2020年9月10日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0"/>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4BEAC"/>
    <w:multiLevelType w:val="singleLevel"/>
    <w:tmpl w:val="8FB4BEAC"/>
    <w:lvl w:ilvl="0" w:tentative="0">
      <w:start w:val="2"/>
      <w:numFmt w:val="decimal"/>
      <w:suff w:val="nothing"/>
      <w:lvlText w:val="%1、"/>
      <w:lvlJc w:val="left"/>
    </w:lvl>
  </w:abstractNum>
  <w:abstractNum w:abstractNumId="1">
    <w:nsid w:val="92CDA521"/>
    <w:multiLevelType w:val="singleLevel"/>
    <w:tmpl w:val="92CDA521"/>
    <w:lvl w:ilvl="0" w:tentative="0">
      <w:start w:val="7"/>
      <w:numFmt w:val="decimal"/>
      <w:suff w:val="space"/>
      <w:lvlText w:val="%1."/>
      <w:lvlJc w:val="left"/>
    </w:lvl>
  </w:abstractNum>
  <w:abstractNum w:abstractNumId="2">
    <w:nsid w:val="A56291B5"/>
    <w:multiLevelType w:val="singleLevel"/>
    <w:tmpl w:val="A56291B5"/>
    <w:lvl w:ilvl="0" w:tentative="0">
      <w:start w:val="2"/>
      <w:numFmt w:val="chineseCounting"/>
      <w:suff w:val="nothing"/>
      <w:lvlText w:val="%1、"/>
      <w:lvlJc w:val="left"/>
      <w:rPr>
        <w:rFonts w:hint="eastAsia"/>
      </w:rPr>
    </w:lvl>
  </w:abstractNum>
  <w:abstractNum w:abstractNumId="3">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9DE68B"/>
    <w:multiLevelType w:val="singleLevel"/>
    <w:tmpl w:val="299DE68B"/>
    <w:lvl w:ilvl="0" w:tentative="0">
      <w:start w:val="2"/>
      <w:numFmt w:val="decimal"/>
      <w:lvlText w:val="%1."/>
      <w:lvlJc w:val="left"/>
      <w:pPr>
        <w:tabs>
          <w:tab w:val="left" w:pos="312"/>
        </w:tabs>
      </w:pPr>
    </w:lvl>
  </w:abstractNum>
  <w:abstractNum w:abstractNumId="5">
    <w:nsid w:val="34553F95"/>
    <w:multiLevelType w:val="singleLevel"/>
    <w:tmpl w:val="34553F95"/>
    <w:lvl w:ilvl="0" w:tentative="0">
      <w:start w:val="1"/>
      <w:numFmt w:val="decimal"/>
      <w:suff w:val="space"/>
      <w:lvlText w:val="%1."/>
      <w:lvlJc w:val="left"/>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6"/>
  </w:num>
  <w:num w:numId="2">
    <w:abstractNumId w:val="0"/>
  </w:num>
  <w:num w:numId="3">
    <w:abstractNumId w:val="7"/>
  </w:num>
  <w:num w:numId="4">
    <w:abstractNumId w:val="3"/>
  </w:num>
  <w:num w:numId="5">
    <w:abstractNumId w:val="4"/>
  </w:num>
  <w:num w:numId="6">
    <w:abstractNumId w:val="5"/>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2267D9"/>
    <w:rsid w:val="06EE086A"/>
    <w:rsid w:val="088207FD"/>
    <w:rsid w:val="0AB146A1"/>
    <w:rsid w:val="0D7741C4"/>
    <w:rsid w:val="0EB560A9"/>
    <w:rsid w:val="1075615D"/>
    <w:rsid w:val="11EA3006"/>
    <w:rsid w:val="19E14F50"/>
    <w:rsid w:val="1A7B4626"/>
    <w:rsid w:val="1F496E98"/>
    <w:rsid w:val="208F5B7E"/>
    <w:rsid w:val="226D37CD"/>
    <w:rsid w:val="237F5057"/>
    <w:rsid w:val="294E7AFB"/>
    <w:rsid w:val="29F47B88"/>
    <w:rsid w:val="2A3D38EE"/>
    <w:rsid w:val="2C47379B"/>
    <w:rsid w:val="2C7E52AD"/>
    <w:rsid w:val="2D4A4CB4"/>
    <w:rsid w:val="2F2A74A5"/>
    <w:rsid w:val="2FB9205D"/>
    <w:rsid w:val="2FF42756"/>
    <w:rsid w:val="306E562F"/>
    <w:rsid w:val="36FE62AA"/>
    <w:rsid w:val="39230EFF"/>
    <w:rsid w:val="3A7205CC"/>
    <w:rsid w:val="3B3B1078"/>
    <w:rsid w:val="3FC12A2E"/>
    <w:rsid w:val="42BC04ED"/>
    <w:rsid w:val="46572F36"/>
    <w:rsid w:val="472E33A8"/>
    <w:rsid w:val="477314B7"/>
    <w:rsid w:val="4D3B316C"/>
    <w:rsid w:val="515A6491"/>
    <w:rsid w:val="570436B4"/>
    <w:rsid w:val="57725A9F"/>
    <w:rsid w:val="577908B4"/>
    <w:rsid w:val="57CB4E08"/>
    <w:rsid w:val="580B72FE"/>
    <w:rsid w:val="58116F51"/>
    <w:rsid w:val="5C560D61"/>
    <w:rsid w:val="5CC31B6A"/>
    <w:rsid w:val="5D974BBE"/>
    <w:rsid w:val="5DE311B9"/>
    <w:rsid w:val="5EE05652"/>
    <w:rsid w:val="5F9169EF"/>
    <w:rsid w:val="62294576"/>
    <w:rsid w:val="65B206E3"/>
    <w:rsid w:val="66E41E0D"/>
    <w:rsid w:val="68865AFC"/>
    <w:rsid w:val="6A696628"/>
    <w:rsid w:val="6AE5130C"/>
    <w:rsid w:val="74C011C4"/>
    <w:rsid w:val="75BE1593"/>
    <w:rsid w:val="769E5E2E"/>
    <w:rsid w:val="773F7203"/>
    <w:rsid w:val="794C3F4E"/>
    <w:rsid w:val="79836D1E"/>
    <w:rsid w:val="798E4920"/>
    <w:rsid w:val="7A962BFD"/>
    <w:rsid w:val="7B6433C8"/>
    <w:rsid w:val="7BF04F92"/>
    <w:rsid w:val="7DAB79F4"/>
    <w:rsid w:val="7DCC2E3D"/>
    <w:rsid w:val="7E0E0CDA"/>
    <w:rsid w:val="7F5A7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2020-09-12T04:08:12Z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