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资材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赵春荣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刘定生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20.9.4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420" w:lineRule="exact"/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现场审核过程了解到部门主要负责：</w:t>
            </w:r>
          </w:p>
          <w:p>
            <w:pPr>
              <w:autoSpaceDE w:val="0"/>
              <w:autoSpaceDN w:val="0"/>
              <w:spacing w:line="420" w:lineRule="exact"/>
              <w:ind w:firstLine="48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a)</w:t>
            </w:r>
            <w:r>
              <w:rPr>
                <w:rFonts w:ascii="宋体" w:eastAsia="Times New Roman"/>
                <w:sz w:val="21"/>
                <w:szCs w:val="21"/>
              </w:rPr>
              <w:t>负责原材料采购；</w:t>
            </w:r>
          </w:p>
          <w:p>
            <w:pPr>
              <w:autoSpaceDE w:val="0"/>
              <w:autoSpaceDN w:val="0"/>
              <w:spacing w:line="420" w:lineRule="exact"/>
              <w:ind w:firstLine="480"/>
              <w:rPr>
                <w:rFonts w:ascii="宋体" w:eastAsia="Times New Roman"/>
                <w:sz w:val="21"/>
                <w:szCs w:val="21"/>
              </w:rPr>
            </w:pPr>
            <w:r>
              <w:rPr>
                <w:rFonts w:ascii="宋体" w:eastAsia="Times New Roman" w:cs="宋体"/>
                <w:sz w:val="21"/>
                <w:szCs w:val="21"/>
              </w:rPr>
              <w:t>b)</w:t>
            </w:r>
            <w:r>
              <w:rPr>
                <w:rFonts w:ascii="宋体" w:eastAsia="Times New Roman"/>
                <w:sz w:val="21"/>
                <w:szCs w:val="21"/>
              </w:rPr>
              <w:t>负责与供方沟通，告知公司的环境和要求。</w:t>
            </w:r>
          </w:p>
          <w:p>
            <w:pPr>
              <w:tabs>
                <w:tab w:val="left" w:pos="1050"/>
              </w:tabs>
              <w:autoSpaceDE w:val="0"/>
              <w:autoSpaceDN w:val="0"/>
              <w:spacing w:line="420" w:lineRule="exact"/>
              <w:ind w:firstLine="480"/>
              <w:rPr>
                <w:rFonts w:ascii="宋体" w:eastAsia="Times New Roman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c)</w:t>
            </w:r>
            <w:r>
              <w:rPr>
                <w:rFonts w:ascii="宋体" w:eastAsia="Times New Roman"/>
                <w:sz w:val="21"/>
                <w:szCs w:val="21"/>
              </w:rPr>
              <w:t>负责制订采购计划，并督导具体的采购作业。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办公垃圾分类排放，检查合格率</w:t>
            </w:r>
            <w:r>
              <w:rPr>
                <w:rFonts w:ascii="宋体" w:hAnsi="宋体"/>
                <w:color w:val="000000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pStyle w:val="13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火灾事故为0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20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20.4-8月</w:t>
            </w:r>
            <w:r>
              <w:rPr>
                <w:rFonts w:hint="eastAsia" w:ascii="宋体" w:hAnsi="宋体" w:cs="Arial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 w:cs="楷体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cs="楷体"/>
                <w:szCs w:val="21"/>
              </w:rPr>
              <w:t>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编制并实施了环境控制程序和管理制度。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公司目前的主要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rFonts w:hint="eastAsia"/>
                <w:sz w:val="20"/>
              </w:rPr>
              <w:t>陶瓷共烧基板的生产</w:t>
            </w:r>
            <w:r>
              <w:rPr>
                <w:rFonts w:hint="eastAsia" w:ascii="宋体" w:hAnsi="宋体" w:cs="楷体"/>
                <w:bCs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cs="楷体"/>
                <w:szCs w:val="21"/>
              </w:rPr>
              <w:t>统一处理，部门不单独处理。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20.4-8</w:t>
            </w:r>
            <w:r>
              <w:rPr>
                <w:rFonts w:hint="eastAsia" w:ascii="宋体" w:hAnsi="宋体" w:cs="楷体"/>
                <w:szCs w:val="21"/>
              </w:rPr>
              <w:t>月份检查结果正常，检查人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郭海琴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楷体"/>
                <w:szCs w:val="21"/>
              </w:rPr>
              <w:t>公司通过各部门申报采购计划批准后进行采购，流程是申报计划→评审→总经理批准→签订合同→采购。</w:t>
            </w:r>
          </w:p>
          <w:p>
            <w:pPr>
              <w:spacing w:line="360" w:lineRule="auto"/>
              <w:rPr>
                <w:rFonts w:hint="default" w:ascii="宋体" w:hAnsi="宋体" w:eastAsia="宋体" w:cs="楷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6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公司目前采购的主要原材料有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各种基板、料浆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楷体"/>
                <w:bCs/>
                <w:szCs w:val="21"/>
              </w:rPr>
              <w:t>产品全部由厂家提供，均有合格证和使用说明以及检验报告。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default" w:ascii="宋体" w:hAnsi="宋体" w:eastAsia="宋体" w:cs="楷体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7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未提供</w:t>
            </w:r>
            <w:r>
              <w:rPr>
                <w:rFonts w:hint="eastAsia" w:ascii="宋体" w:hAnsi="宋体" w:cs="楷体"/>
                <w:szCs w:val="21"/>
              </w:rPr>
              <w:t>向供应商发放《相关方告之书》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的相关证据</w:t>
            </w:r>
            <w:r>
              <w:rPr>
                <w:rFonts w:hint="eastAsia" w:ascii="宋体" w:hAnsi="宋体" w:cs="楷体"/>
                <w:szCs w:val="21"/>
              </w:rPr>
              <w:t>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开具了不符合。</w:t>
            </w:r>
          </w:p>
          <w:p>
            <w:pPr>
              <w:spacing w:line="360" w:lineRule="auto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8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对供应商施加影响还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楷体"/>
                <w:szCs w:val="21"/>
              </w:rPr>
              <w:t>包括在评定供应商时，获取质量、环境、职业健康安全管理体系证书则优先，产品必须用环保无毒无害材料、无尖角毛刺等措施。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eastAsia="宋体" w:cs="楷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参加了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2020年8月12日</w:t>
            </w:r>
            <w:r>
              <w:rPr>
                <w:rFonts w:hint="eastAsia" w:ascii="宋体" w:hAnsi="宋体" w:cs="楷体"/>
                <w:szCs w:val="21"/>
              </w:rPr>
              <w:t>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cs="楷体"/>
                <w:szCs w:val="21"/>
              </w:rPr>
              <w:t>组织的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szCs w:val="21"/>
              </w:rPr>
              <w:t>应急救援演练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行政人事部</w:t>
            </w:r>
            <w:r>
              <w:rPr>
                <w:rFonts w:hint="eastAsia" w:ascii="宋体" w:hAnsi="宋体" w:cs="楷体"/>
                <w:szCs w:val="21"/>
              </w:rPr>
              <w:t>负责人每月巡查消防设施管理和线路安全情况，查见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20.4</w:t>
            </w:r>
            <w:r>
              <w:rPr>
                <w:rFonts w:hint="eastAsia" w:ascii="宋体" w:hAnsi="宋体" w:cs="楷体"/>
                <w:szCs w:val="21"/>
              </w:rPr>
              <w:t>月</w:t>
            </w:r>
            <w:r>
              <w:rPr>
                <w:rFonts w:ascii="宋体" w:hAnsi="宋体" w:cs="楷体"/>
                <w:szCs w:val="21"/>
              </w:rPr>
              <w:t>---20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20.8</w:t>
            </w:r>
            <w:r>
              <w:rPr>
                <w:rFonts w:hint="eastAsia" w:ascii="宋体" w:hAnsi="宋体" w:cs="楷体"/>
                <w:szCs w:val="21"/>
              </w:rPr>
              <w:t>月份检查结果正常，检查人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郭海琴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pStyle w:val="14"/>
              <w:spacing w:beforeLines="30" w:afterLines="30"/>
              <w:ind w:firstLine="46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现场巡视办公区有灭火器和消防栓，均有效。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01D81BE5"/>
    <w:rsid w:val="097B4631"/>
    <w:rsid w:val="108219C2"/>
    <w:rsid w:val="11BE19F8"/>
    <w:rsid w:val="12E53D92"/>
    <w:rsid w:val="133A0111"/>
    <w:rsid w:val="143A0727"/>
    <w:rsid w:val="1DD01442"/>
    <w:rsid w:val="20A56492"/>
    <w:rsid w:val="21495416"/>
    <w:rsid w:val="39F52ADD"/>
    <w:rsid w:val="43582F9D"/>
    <w:rsid w:val="4C5163BD"/>
    <w:rsid w:val="4EC17F0A"/>
    <w:rsid w:val="50F574B7"/>
    <w:rsid w:val="573033D2"/>
    <w:rsid w:val="5EA12B9A"/>
    <w:rsid w:val="65DB374D"/>
    <w:rsid w:val="686569EF"/>
    <w:rsid w:val="6A920F4D"/>
    <w:rsid w:val="75E51A49"/>
    <w:rsid w:val="7A233B15"/>
    <w:rsid w:val="7AC36EB8"/>
    <w:rsid w:val="7AC71A63"/>
    <w:rsid w:val="7B6224E7"/>
    <w:rsid w:val="7C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26</TotalTime>
  <ScaleCrop>false</ScaleCrop>
  <LinksUpToDate>false</LinksUpToDate>
  <CharactersWithSpaces>3628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伍光华</cp:lastModifiedBy>
  <dcterms:modified xsi:type="dcterms:W3CDTF">2020-09-04T04:21:57Z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