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120" w:afterLines="50" w:line="320" w:lineRule="exact"/>
        <w:rPr>
          <w:rFonts w:eastAsia="隶书"/>
          <w:b/>
          <w:sz w:val="22"/>
          <w:szCs w:val="22"/>
        </w:rPr>
      </w:pPr>
      <w:bookmarkStart w:id="0" w:name="Q勾选"/>
      <w:r>
        <w:rPr>
          <w:rFonts w:hint="eastAsia"/>
          <w:b/>
          <w:sz w:val="22"/>
          <w:szCs w:val="22"/>
        </w:rPr>
        <w:t>■</w:t>
      </w:r>
      <w:bookmarkEnd w:id="0"/>
      <w:r>
        <w:rPr>
          <w:rFonts w:hint="eastAsia"/>
          <w:b/>
          <w:sz w:val="22"/>
          <w:szCs w:val="22"/>
        </w:rPr>
        <w:t xml:space="preserve">QMS  </w:t>
      </w:r>
      <w:bookmarkStart w:id="1" w:name="E勾选"/>
      <w:r>
        <w:rPr>
          <w:rFonts w:hint="eastAsia"/>
          <w:b/>
          <w:sz w:val="22"/>
          <w:szCs w:val="22"/>
        </w:rPr>
        <w:t>■</w:t>
      </w:r>
      <w:bookmarkEnd w:id="1"/>
      <w:r>
        <w:rPr>
          <w:rFonts w:hint="eastAsia"/>
          <w:b/>
          <w:sz w:val="22"/>
          <w:szCs w:val="22"/>
        </w:rPr>
        <w:t xml:space="preserve">EMS  </w:t>
      </w:r>
      <w:bookmarkStart w:id="2" w:name="S勾选"/>
      <w:r>
        <w:rPr>
          <w:rFonts w:hint="eastAsia"/>
          <w:b/>
          <w:sz w:val="22"/>
          <w:szCs w:val="22"/>
        </w:rPr>
        <w:t>■</w:t>
      </w:r>
      <w:bookmarkEnd w:id="2"/>
      <w:r>
        <w:rPr>
          <w:rFonts w:hint="eastAsia"/>
          <w:b/>
          <w:sz w:val="22"/>
          <w:szCs w:val="22"/>
        </w:rPr>
        <w:t xml:space="preserve">OHSMS </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bookmarkStart w:id="3" w:name="组织名称"/>
            <w:r>
              <w:rPr>
                <w:b/>
                <w:sz w:val="20"/>
              </w:rPr>
              <w:t>格林朗斯科技(北京)有限公司</w:t>
            </w:r>
            <w:bookmarkEnd w:id="3"/>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bookmarkStart w:id="4" w:name="专业代码"/>
            <w:r>
              <w:rPr>
                <w:b/>
                <w:sz w:val="20"/>
              </w:rPr>
              <w:t>Q：29.08.05</w:t>
            </w:r>
          </w:p>
          <w:p>
            <w:pPr>
              <w:snapToGrid w:val="0"/>
              <w:spacing w:line="280" w:lineRule="exact"/>
              <w:ind w:left="52"/>
              <w:jc w:val="center"/>
              <w:rPr>
                <w:b/>
                <w:sz w:val="20"/>
              </w:rPr>
            </w:pPr>
            <w:r>
              <w:rPr>
                <w:b/>
                <w:sz w:val="20"/>
              </w:rPr>
              <w:t>E：29.08.05</w:t>
            </w:r>
          </w:p>
          <w:p>
            <w:pPr>
              <w:snapToGrid w:val="0"/>
              <w:spacing w:line="280" w:lineRule="exact"/>
              <w:ind w:left="52"/>
              <w:jc w:val="center"/>
              <w:rPr>
                <w:b/>
                <w:sz w:val="20"/>
              </w:rPr>
            </w:pPr>
            <w:r>
              <w:rPr>
                <w:b/>
                <w:sz w:val="20"/>
              </w:rPr>
              <w:t>O：29.08.05</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Q：29.08.05</w:t>
            </w:r>
          </w:p>
          <w:p>
            <w:pPr>
              <w:snapToGrid w:val="0"/>
              <w:spacing w:line="280" w:lineRule="exact"/>
              <w:ind w:left="52"/>
              <w:jc w:val="center"/>
              <w:rPr>
                <w:b/>
                <w:sz w:val="20"/>
              </w:rPr>
            </w:pPr>
            <w:r>
              <w:rPr>
                <w:b/>
                <w:sz w:val="20"/>
              </w:rPr>
              <w:t>E：29.08.05</w:t>
            </w:r>
          </w:p>
          <w:p>
            <w:pPr>
              <w:snapToGrid w:val="0"/>
              <w:spacing w:line="280" w:lineRule="exact"/>
              <w:jc w:val="center"/>
              <w:rPr>
                <w:b/>
                <w:sz w:val="20"/>
              </w:rPr>
            </w:pPr>
            <w:r>
              <w:rPr>
                <w:b/>
                <w:sz w:val="20"/>
              </w:rPr>
              <w:t>O：29.08.05</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b/>
                <w:sz w:val="20"/>
              </w:rPr>
            </w:pPr>
            <w:r>
              <w:rPr>
                <w:b/>
                <w:color w:val="000000" w:themeColor="text1"/>
                <w:sz w:val="20"/>
                <w:szCs w:val="20"/>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无</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spacing w:line="480" w:lineRule="exact"/>
              <w:rPr>
                <w:rFonts w:hint="eastAsia" w:ascii="宋体" w:hAnsi="宋体"/>
                <w:b/>
                <w:bCs/>
                <w:color w:val="000000"/>
                <w:sz w:val="24"/>
                <w:szCs w:val="32"/>
              </w:rPr>
            </w:pPr>
            <w:r>
              <w:rPr>
                <w:rFonts w:hint="eastAsia"/>
                <w:b/>
                <w:bCs/>
                <w:color w:val="000000"/>
                <w:sz w:val="24"/>
              </w:rPr>
              <w:t>客户沟通----合同评审----签订合同-----采购-----客户提货-----验收交付</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ind w:firstLine="480" w:firstLineChars="200"/>
              <w:jc w:val="left"/>
              <w:rPr>
                <w:rFonts w:hint="eastAsia"/>
                <w:szCs w:val="21"/>
              </w:rPr>
            </w:pPr>
            <w:r>
              <w:rPr>
                <w:rFonts w:hint="eastAsia"/>
                <w:szCs w:val="21"/>
                <w:lang w:val="en-US" w:eastAsia="zh-CN"/>
              </w:rPr>
              <w:t>特殊过程为销售：</w:t>
            </w:r>
            <w:r>
              <w:rPr>
                <w:rFonts w:hint="eastAsia"/>
                <w:szCs w:val="21"/>
              </w:rPr>
              <w:t>销售服务过程控制：编制了相应的销售作业文件： 销售管理规范、服务规范、对</w:t>
            </w:r>
            <w:r>
              <w:rPr>
                <w:rFonts w:hint="eastAsia"/>
                <w:szCs w:val="21"/>
                <w:lang w:val="en-US" w:eastAsia="zh-CN"/>
              </w:rPr>
              <w:t>植物负离子释放液</w:t>
            </w:r>
            <w:r>
              <w:rPr>
                <w:rFonts w:hint="eastAsia"/>
                <w:szCs w:val="21"/>
              </w:rPr>
              <w:t>的销售的整个过程做了明确的要求，从顾客沟通、合同评审、服务规范等各阶段，规定了服务的要求销售服务的特殊过程控制从以下几个方面进行控制：</w:t>
            </w:r>
          </w:p>
          <w:p>
            <w:pPr>
              <w:ind w:firstLine="480" w:firstLineChars="200"/>
              <w:jc w:val="left"/>
              <w:rPr>
                <w:rFonts w:hint="eastAsia"/>
                <w:szCs w:val="21"/>
              </w:rPr>
            </w:pPr>
            <w:r>
              <w:rPr>
                <w:rFonts w:hint="eastAsia"/>
                <w:szCs w:val="21"/>
              </w:rPr>
              <w:t>1)接单:销售部业务员接收和接洽，是否有记录公司的《服务礼仪规定》能否满足要求，有无顾客投诉</w:t>
            </w:r>
          </w:p>
          <w:p>
            <w:pPr>
              <w:ind w:firstLine="480" w:firstLineChars="200"/>
              <w:jc w:val="left"/>
              <w:rPr>
                <w:rFonts w:hint="eastAsia"/>
                <w:szCs w:val="21"/>
              </w:rPr>
            </w:pPr>
            <w:r>
              <w:rPr>
                <w:rFonts w:hint="eastAsia"/>
                <w:szCs w:val="21"/>
              </w:rPr>
              <w:t>2)采购:接收的产品销售任务是否及时传递到生产供方\编制“采购计划表”，是否及时跟踪并控制交货进度</w:t>
            </w:r>
          </w:p>
          <w:p>
            <w:pPr>
              <w:ind w:firstLine="480" w:firstLineChars="200"/>
              <w:jc w:val="left"/>
              <w:rPr>
                <w:rFonts w:hint="eastAsia"/>
                <w:szCs w:val="21"/>
              </w:rPr>
            </w:pPr>
            <w:r>
              <w:rPr>
                <w:rFonts w:hint="eastAsia"/>
                <w:szCs w:val="21"/>
              </w:rPr>
              <w:t>3)发货:销售人员根据订单，直接从供应商处把货物发到客户，销售部业务人员要仔细核对发货信息、货物信息等，是否检查防护措施/顾客要求时，是否按提供质量保证资料</w:t>
            </w:r>
          </w:p>
          <w:p>
            <w:pPr>
              <w:ind w:firstLine="480" w:firstLineChars="200"/>
              <w:jc w:val="left"/>
              <w:rPr>
                <w:rFonts w:hint="eastAsia"/>
                <w:szCs w:val="21"/>
                <w:lang w:val="en-US" w:eastAsia="zh-CN"/>
              </w:rPr>
            </w:pPr>
            <w:r>
              <w:rPr>
                <w:rFonts w:hint="eastAsia"/>
                <w:szCs w:val="21"/>
              </w:rPr>
              <w:t>4)售后服务:提交产品后，销售部是否去电话询问产品质量情况/顾客有上门服务要求时，是否在规定时间内予以答复并填写质量信息记录和顾客服务记录</w:t>
            </w:r>
          </w:p>
          <w:p>
            <w:pPr>
              <w:pStyle w:val="2"/>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napToGrid w:val="0"/>
              <w:spacing w:line="280" w:lineRule="exact"/>
              <w:jc w:val="center"/>
              <w:rPr>
                <w:b/>
                <w:sz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80" w:firstLineChars="200"/>
              <w:jc w:val="left"/>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jc w:val="left"/>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p>
            <w:pPr>
              <w:snapToGrid w:val="0"/>
              <w:spacing w:line="280" w:lineRule="exact"/>
              <w:jc w:val="left"/>
              <w:rPr>
                <w:b/>
                <w:sz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rPr>
                <w:rFonts w:hint="eastAsia"/>
                <w:color w:val="auto"/>
              </w:rPr>
            </w:pPr>
            <w:r>
              <w:rPr>
                <w:rFonts w:hint="eastAsia"/>
                <w:color w:val="auto"/>
              </w:rPr>
              <w:t>JC/T 2110-2012 室内空气离子浓度测试方法</w:t>
            </w:r>
          </w:p>
          <w:p>
            <w:pPr>
              <w:rPr>
                <w:rFonts w:hint="eastAsia"/>
                <w:color w:val="auto"/>
              </w:rPr>
            </w:pPr>
            <w:r>
              <w:rPr>
                <w:rFonts w:hint="eastAsia"/>
                <w:color w:val="auto"/>
              </w:rPr>
              <w:t xml:space="preserve">企业标准 Q/GLLS 001-2018 </w:t>
            </w:r>
            <w:r>
              <w:rPr>
                <w:rFonts w:hint="eastAsia" w:ascii="宋体" w:hAnsi="宋体"/>
                <w:szCs w:val="21"/>
              </w:rPr>
              <w:t>植物负氧离子释放液</w:t>
            </w:r>
          </w:p>
          <w:p>
            <w:pPr>
              <w:rPr>
                <w:rFonts w:hint="eastAsia"/>
                <w:color w:val="auto"/>
              </w:rPr>
            </w:pPr>
            <w:r>
              <w:rPr>
                <w:rFonts w:hint="eastAsia"/>
                <w:color w:val="auto"/>
              </w:rPr>
              <w:t>GB/T18801-2008《空气净化器》</w:t>
            </w:r>
          </w:p>
          <w:p>
            <w:pPr>
              <w:rPr>
                <w:rFonts w:hint="eastAsia"/>
                <w:color w:val="auto"/>
              </w:rPr>
            </w:pPr>
            <w:r>
              <w:rPr>
                <w:rFonts w:hint="eastAsia"/>
                <w:color w:val="auto"/>
              </w:rPr>
              <w:t>GB/T18883-2002《室内空气质量标准》</w:t>
            </w:r>
          </w:p>
          <w:p>
            <w:pPr>
              <w:rPr>
                <w:rFonts w:hint="eastAsia"/>
                <w:color w:val="auto"/>
              </w:rPr>
            </w:pPr>
            <w:r>
              <w:rPr>
                <w:rFonts w:hint="eastAsia"/>
                <w:color w:val="auto"/>
              </w:rPr>
              <w:t>GB18584-2001《室内装饰装修材料 有害物质限量》</w:t>
            </w:r>
          </w:p>
          <w:p>
            <w:pPr>
              <w:rPr>
                <w:rFonts w:hint="eastAsia"/>
                <w:color w:val="auto"/>
              </w:rPr>
            </w:pPr>
            <w:r>
              <w:rPr>
                <w:rFonts w:hint="eastAsia"/>
                <w:color w:val="auto"/>
              </w:rPr>
              <w:t>GB1.7《标准化工作导则产品包装标准的编写规定》</w:t>
            </w:r>
          </w:p>
          <w:p>
            <w:pPr>
              <w:rPr>
                <w:rFonts w:hint="eastAsia"/>
                <w:color w:val="auto"/>
              </w:rPr>
            </w:pPr>
            <w:r>
              <w:rPr>
                <w:rFonts w:hint="eastAsia"/>
                <w:color w:val="auto"/>
              </w:rPr>
              <w:t>JJF 1070-2000  定量包装商品净含量计量检验规则</w:t>
            </w:r>
          </w:p>
          <w:p>
            <w:pPr>
              <w:rPr>
                <w:rFonts w:hint="eastAsia"/>
                <w:color w:val="auto"/>
              </w:rPr>
            </w:pPr>
            <w:r>
              <w:rPr>
                <w:rFonts w:hint="eastAsia"/>
                <w:color w:val="auto"/>
              </w:rPr>
              <w:t>国家技术监督局第43号令《定量包装商品计量监督规定》</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ascii="宋体"/>
          <w:b/>
          <w:sz w:val="18"/>
          <w:szCs w:val="18"/>
          <w:lang w:val="en-US" w:eastAsia="zh-CN"/>
        </w:rPr>
        <w:t xml:space="preserve">李京田  </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ascii="宋体"/>
          <w:b/>
          <w:sz w:val="22"/>
          <w:szCs w:val="22"/>
          <w:lang w:val="en-US" w:eastAsia="zh-CN"/>
        </w:rPr>
        <w:t>2020.8.31</w:t>
      </w:r>
      <w:r>
        <w:rPr>
          <w:rFonts w:hint="eastAsia" w:ascii="宋体"/>
          <w:b/>
          <w:sz w:val="22"/>
          <w:szCs w:val="22"/>
        </w:rPr>
        <w:t xml:space="preserve">     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2020.8.31</w:t>
      </w:r>
      <w:bookmarkStart w:id="5" w:name="_GoBack"/>
      <w:bookmarkEnd w:id="5"/>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-I-24专业培训记录(03版)</w:t>
                </w:r>
              </w:p>
            </w:txbxContent>
          </v:textbox>
        </v:shape>
      </w:pict>
    </w: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8992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43</Words>
  <Characters>250</Characters>
  <Lines>2</Lines>
  <Paragraphs>1</Paragraphs>
  <TotalTime>0</TotalTime>
  <ScaleCrop>false</ScaleCrop>
  <LinksUpToDate>false</LinksUpToDate>
  <CharactersWithSpaces>292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2020-08-25T13:36:07Z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