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21"/>
          <w:szCs w:val="21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1"/>
          <w:szCs w:val="21"/>
        </w:rPr>
      </w:pPr>
      <w:r>
        <w:rPr>
          <w:rFonts w:hint="eastAsia" w:ascii="隶书" w:hAnsi="宋体" w:eastAsia="隶书"/>
          <w:bCs/>
          <w:color w:val="000000"/>
          <w:sz w:val="21"/>
          <w:szCs w:val="21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134"/>
        <w:gridCol w:w="107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6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76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color w:val="auto"/>
                <w:sz w:val="21"/>
                <w:szCs w:val="21"/>
              </w:rPr>
              <w:t xml:space="preserve">主管领导：杨其兵 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cs="宋体"/>
                <w:color w:val="auto"/>
                <w:sz w:val="21"/>
                <w:szCs w:val="21"/>
              </w:rPr>
              <w:t>陪同人员：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周涛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李君(实习)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auto"/>
                <w:sz w:val="21"/>
                <w:szCs w:val="21"/>
              </w:rPr>
              <w:t>审核时间：</w:t>
            </w:r>
            <w:r>
              <w:rPr>
                <w:rFonts w:hint="eastAsia"/>
                <w:color w:val="auto"/>
                <w:sz w:val="21"/>
                <w:szCs w:val="21"/>
              </w:rPr>
              <w:t>2020.0</w:t>
            </w:r>
            <w:r>
              <w:rPr>
                <w:color w:val="auto"/>
                <w:sz w:val="21"/>
                <w:szCs w:val="21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审核条款：了解受审核方销售过程涉及的质量、环境、职业健康安全的相关活动；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涉及条款：Q7.1.3/7.1.4/7.1.5/8.1/8.2/8.5.1； EO6.1.2/6.1.3/6.1.4；</w:t>
            </w:r>
          </w:p>
        </w:tc>
        <w:tc>
          <w:tcPr>
            <w:tcW w:w="82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基础设施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7.1.3</w:t>
            </w:r>
          </w:p>
        </w:tc>
        <w:tc>
          <w:tcPr>
            <w:tcW w:w="10760" w:type="dxa"/>
            <w:vAlign w:val="center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公司的基础设施有：办公室、冷库及温度控制设备、电脑、打印机等。。</w:t>
            </w:r>
          </w:p>
        </w:tc>
        <w:tc>
          <w:tcPr>
            <w:tcW w:w="829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过程运行环境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7.1.4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经远程询查得知冷冻库的环境要求：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食品验收的场所、设备应当保持清洁，定期清扫，无积尘、无食品残渣，无霉斑、鼠迹、苍蝇、蟑螂，不得存放有毒、有害物品（如：杀鼠剂、杀虫剂、洗涤剂、消毒剂等）及个人生活用品。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食品验收时应当注意按生产单位、品种分别放置于食品专用栈板上，保证商品分类、分架。做到生熟食品分开，避免交叉污染。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公司作业的具体需要，公司考虑工作环境中必要的人性和生理因素，确保员工的职业安全、健康和心情愉快，包括：没有不歧视、和谐稳定、不对抗；员工没有低压力、有倦怠预防、有情感保护；食品配送中温度、热度、湿度、照明、空气流通、卫生、噪音符合要求。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经远程询查，公司的过程运行环境符合标准要求。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监视和测量资源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7.1.5</w:t>
            </w: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该公司属于预包装食品的配送业务，本公司在向客户提供 许可范围内预包装食品（含冷藏冷冻食品）的销售；鲜肉、鲜蛋、干鲜果品、蔬菜、粮油、水产品、调味品的销售过程中，使用相关的文件记录为检测标准，定期对销售人员进行销售服务质量检测，并保留成文记录，不需要监视和测量设备。</w:t>
            </w:r>
          </w:p>
        </w:tc>
        <w:tc>
          <w:tcPr>
            <w:tcW w:w="829" w:type="dxa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6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运行策划和控制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21"/>
                <w:szCs w:val="21"/>
              </w:rPr>
              <w:t>8.1</w:t>
            </w: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申领《食品流通许可证》和《营业执照》，取得食品经营资格；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按照《索证索票制度》和《协议准入制度》的要求对食品供应商进行资格审验，验明所进食品的“三证”、合格检验报告等证明文件；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按照《进货检查验收制度》的要求对食品质量进行检查，并按照《进货台账制度》对购进食品的名称、规格、数量、生产批号、保质期、供货者名称及联系方式、进货日期等内容进行登记，建立台账；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按照《销货台账制度》和《质量自检制度》的要求，对销售食品进行登记检查，定期检查库存食品，及时清理变质或超过保质期的食品，严格执行《不合格产品退市制度》；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按照《食品安全信息公开制度》的要求公示经销食品的安全信息，确保经销食品安全信息准确、有效、发现食品安全不稳定因素的，及时向有关部门报告，并停止销售；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Q8.2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销售部负责产品和服务要求确定的工作，根据与顾客要求，利用与顾客签订《配送合同》等来满足顾客的要求。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提供有配送合同以及合同评审表。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产品和服务的要求满足标准要求。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生产和服务提供的控制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Q8.5.1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制定食品配送经营规范，按照经营规范进行提供销售服务和控制。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食品配送应建立食品储存、报废和出入库台帐，详细记录所采购食品特别食品品名、生产厂家、生产日期（批号）、进货日期、保质期、进货数量、运输包装、产品质量等信息，确保食品从采购、运输、储存到销售环节的可追溯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库内储存商品粘贴或吊挂商品识别卡（标签）标识相关信息。识别卡（标签）标识信息至少包括货号、品名、制造商（供应商）、批号、数量、保质期、解冻时间及销售时限等。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食品配送按“先进先出”原则发货给销售部门。认真执行食品入库出库检验登记制度，做到登记清楚，日清月结，帐物相符。对库存商品应定期盘点检查，确保无过期报废食品，并做好相关台帐记录。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冷冻和冷藏食品在装卸和出入库必须保证冷链的持续有效，任何环节中商品脱离冷链时间不得超过30分钟。对货物验收相关单据的整理应科学有效，不应有遗漏。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商品在入库时，必须经过验收通道由收货部人员负责验收，并按进货日期分类编号，按类别存档备查。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对库存商品定期进行保质期和质量检查，发现将过期或腐败变质商品应及时处理。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对货物的存放应有系统的管理，将货物放置在规定的区域范围内，以提高工作效率。</w:t>
            </w:r>
          </w:p>
        </w:tc>
        <w:tc>
          <w:tcPr>
            <w:tcW w:w="829" w:type="dxa"/>
          </w:tcPr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环境因素/危险源识别评价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EO/6.1.2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编制了《环境因素识别与评价控制程序》，经查基本符合标准要求。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提供《环境因素评价表》，包括潜在火灾、固废废弃等。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可以提供《重要环境因素清单》，其中重要环境因素：潜在火灾、固废。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评价基本合理并制定有控制措施。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提供了职业健康安全危险源识别与评价表，涉及本部门的危险源包括：潜在火灾、新冠疫情。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用LEC法对识别的危险源进行评价，本部门不可接受风险：潜在火灾、新冠疫情。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评价基本合理并制定有控制措施。</w:t>
            </w:r>
          </w:p>
        </w:tc>
        <w:tc>
          <w:tcPr>
            <w:tcW w:w="829" w:type="dxa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合规义务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EO6.1.3</w:t>
            </w:r>
          </w:p>
        </w:tc>
        <w:tc>
          <w:tcPr>
            <w:tcW w:w="107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提供法律法规的收集、识别、适宜性确认和合规性评价。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1. 建立了《法律法规与其他要求管理程序》，描述了目的、职责、适用范围、获取途径、更新和传递。文件基本符合要求。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2. 公司通过网络、出版机构、书店、专业性报刊、咨询机构、认证机构等渠道收集、评价适用的相关法律法规和其他要求：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lang w:val="en-US" w:eastAsia="zh-CN"/>
              </w:rPr>
              <w:t>3、提供了《法律法规、标准和其他要求清单》，共收集法律法规87个。其中涉及质量的5个、涉及环境的30个、涉及职业健康安全的31个，主要有：中华人民共和国环境保护法、环境噪声污染防治法、安全生产法、固体废物污染防治法、大气污染防治法、水污染防治法、职业病防治法、劳动法、消防法等。对适用的条款进行了适用性确认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szCs w:val="22"/>
                <w:lang w:val="en-US" w:eastAsia="zh-CN"/>
              </w:rPr>
              <w:t>没有识别“《食品经营许可管理办法》、《食用农产品市场销售质量安全监督管理办法》、《食品生产经营日常监督检查管理办法》、《网络餐饮服务食品安全监督管理办法》、《网络食品安全违法行为查处办法》</w:t>
            </w:r>
            <w:r>
              <w:rPr>
                <w:rFonts w:hint="default" w:ascii="Times New Roman" w:hAnsi="Times New Roman" w:cs="Times New Roman"/>
                <w:color w:val="0000FF"/>
                <w:szCs w:val="22"/>
                <w:lang w:val="en-US" w:eastAsia="zh-CN"/>
              </w:rPr>
              <w:t>,《餐饮服务食品安全操作规范》、</w:t>
            </w:r>
            <w:r>
              <w:rPr>
                <w:rFonts w:hint="eastAsia" w:ascii="Times New Roman" w:hAnsi="Times New Roman" w:cs="Times New Roman"/>
                <w:color w:val="0000FF"/>
                <w:szCs w:val="22"/>
                <w:lang w:val="en-US" w:eastAsia="zh-CN"/>
              </w:rPr>
              <w:t>中华人民共和国安全生产法、GB7718-2018预包装食品标签通则、流通领域食品安全管理办法、《国务院关于加强食品等产品安全监督管理的特别规定》（国务院令第503号）、食品标识管理规定、GB/T20940肉类制品企业良好操作规范、GB23346食品良好流通规范”等法律法规及其他要求。</w:t>
            </w:r>
          </w:p>
        </w:tc>
        <w:tc>
          <w:tcPr>
            <w:tcW w:w="829" w:type="dxa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措施的策划</w:t>
            </w:r>
          </w:p>
        </w:tc>
        <w:tc>
          <w:tcPr>
            <w:tcW w:w="1134" w:type="dxa"/>
            <w:vAlign w:val="top"/>
          </w:tcPr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EO6.1.4</w:t>
            </w:r>
          </w:p>
        </w:tc>
        <w:tc>
          <w:tcPr>
            <w:tcW w:w="1076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auto"/>
              </w:rPr>
              <w:t>风险控制策划遵循“消除、预防、减小、隔离、个体防护”和分级控制的原则。对</w:t>
            </w:r>
            <w:r>
              <w:rPr>
                <w:rFonts w:hint="eastAsia" w:ascii="华文中宋" w:hAnsi="华文中宋" w:eastAsia="华文中宋" w:cs="宋体"/>
                <w:color w:val="auto"/>
                <w:lang w:val="en-US" w:eastAsia="zh-CN"/>
              </w:rPr>
              <w:t>重要环境因素/</w:t>
            </w:r>
            <w:r>
              <w:rPr>
                <w:rFonts w:hint="eastAsia" w:ascii="华文中宋" w:hAnsi="华文中宋" w:eastAsia="华文中宋" w:cs="宋体"/>
                <w:color w:val="auto"/>
              </w:rPr>
              <w:t>不可容许风险，采取相应的风险控制措施降低风险，使其达到可</w:t>
            </w:r>
            <w:r>
              <w:rPr>
                <w:rFonts w:hint="eastAsia" w:ascii="华文中宋" w:hAnsi="华文中宋" w:eastAsia="华文中宋" w:cs="宋体"/>
                <w:color w:val="auto"/>
                <w:lang w:val="en-US" w:eastAsia="zh-CN"/>
              </w:rPr>
              <w:t>接受</w:t>
            </w:r>
            <w:r>
              <w:rPr>
                <w:rFonts w:hint="eastAsia" w:ascii="华文中宋" w:hAnsi="华文中宋" w:eastAsia="华文中宋" w:cs="宋体"/>
                <w:color w:val="auto"/>
              </w:rPr>
              <w:t>程度；保持相应的风险控制措施并不断监视，防止其风险变大以至超出可容许的范围。</w:t>
            </w:r>
          </w:p>
        </w:tc>
        <w:tc>
          <w:tcPr>
            <w:tcW w:w="829" w:type="dxa"/>
          </w:tcPr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y</w:t>
            </w:r>
          </w:p>
        </w:tc>
      </w:tr>
    </w:tbl>
    <w:p>
      <w:pPr>
        <w:pStyle w:val="4"/>
        <w:rPr>
          <w:rFonts w:hint="eastAsia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72CA2"/>
    <w:rsid w:val="043130EE"/>
    <w:rsid w:val="07E054B4"/>
    <w:rsid w:val="07EF63EC"/>
    <w:rsid w:val="09136E22"/>
    <w:rsid w:val="099E3A66"/>
    <w:rsid w:val="0C4A4BE1"/>
    <w:rsid w:val="0F535804"/>
    <w:rsid w:val="0F5F2CA2"/>
    <w:rsid w:val="10554EDD"/>
    <w:rsid w:val="12DB5940"/>
    <w:rsid w:val="132011BC"/>
    <w:rsid w:val="15A6299A"/>
    <w:rsid w:val="18EC7036"/>
    <w:rsid w:val="19517451"/>
    <w:rsid w:val="1A4873EA"/>
    <w:rsid w:val="1AB56CF2"/>
    <w:rsid w:val="2090758A"/>
    <w:rsid w:val="22C248E2"/>
    <w:rsid w:val="27D47017"/>
    <w:rsid w:val="28E1001D"/>
    <w:rsid w:val="29287B01"/>
    <w:rsid w:val="29BC0075"/>
    <w:rsid w:val="2A726582"/>
    <w:rsid w:val="2A993974"/>
    <w:rsid w:val="2BCC6C74"/>
    <w:rsid w:val="2E177B63"/>
    <w:rsid w:val="2EA56094"/>
    <w:rsid w:val="30563DE0"/>
    <w:rsid w:val="316B456C"/>
    <w:rsid w:val="32473A4C"/>
    <w:rsid w:val="330B5A81"/>
    <w:rsid w:val="348B159A"/>
    <w:rsid w:val="34CD146B"/>
    <w:rsid w:val="35875204"/>
    <w:rsid w:val="36D01390"/>
    <w:rsid w:val="37F71D8F"/>
    <w:rsid w:val="39E83A7C"/>
    <w:rsid w:val="3E0D73A2"/>
    <w:rsid w:val="3F2F7D42"/>
    <w:rsid w:val="43223ED7"/>
    <w:rsid w:val="46793D72"/>
    <w:rsid w:val="469054FE"/>
    <w:rsid w:val="49464C15"/>
    <w:rsid w:val="4C330D73"/>
    <w:rsid w:val="50513254"/>
    <w:rsid w:val="52D85EA9"/>
    <w:rsid w:val="57C60632"/>
    <w:rsid w:val="5B266AA5"/>
    <w:rsid w:val="5BBF3897"/>
    <w:rsid w:val="5CB555B0"/>
    <w:rsid w:val="5F13006F"/>
    <w:rsid w:val="67EF5E0C"/>
    <w:rsid w:val="6A446D2A"/>
    <w:rsid w:val="6A7B34F7"/>
    <w:rsid w:val="6ED9794E"/>
    <w:rsid w:val="70B74C26"/>
    <w:rsid w:val="73AB34AD"/>
    <w:rsid w:val="74C81C51"/>
    <w:rsid w:val="750F2076"/>
    <w:rsid w:val="76C52D96"/>
    <w:rsid w:val="77B0498B"/>
    <w:rsid w:val="7A056DC0"/>
    <w:rsid w:val="7C503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_Style 2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2020-09-08T04:14:03Z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