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themeColor="text1"/>
          <w:sz w:val="32"/>
          <w:szCs w:val="32"/>
        </w:rPr>
        <w:t>株洲旭阳机电科技开发有限公司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5"/>
        <w:rPr>
          <w:rFonts w:eastAsia="楷体_GB2312"/>
          <w:sz w:val="32"/>
        </w:rPr>
      </w:pPr>
    </w:p>
    <w:p>
      <w:pPr>
        <w:pStyle w:val="5"/>
        <w:rPr>
          <w:rFonts w:eastAsia="楷体_GB2312"/>
          <w:sz w:val="32"/>
        </w:rPr>
      </w:pPr>
    </w:p>
    <w:p>
      <w:pPr>
        <w:pStyle w:val="5"/>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E:18.05.07</w:t>
            </w:r>
          </w:p>
          <w:p>
            <w:pPr>
              <w:jc w:val="center"/>
              <w:rPr>
                <w:b/>
                <w:sz w:val="21"/>
                <w:szCs w:val="21"/>
              </w:rPr>
            </w:pPr>
            <w:r>
              <w:rPr>
                <w:b/>
                <w:sz w:val="21"/>
                <w:szCs w:val="21"/>
              </w:rPr>
              <w:t>O:18.05.07</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E:实习审核员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2019-N0EMS-1218164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殷建雄</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株洲车辆厂</w:t>
            </w:r>
          </w:p>
        </w:tc>
        <w:tc>
          <w:tcPr>
            <w:tcW w:w="1728" w:type="dxa"/>
            <w:gridSpan w:val="2"/>
            <w:vAlign w:val="center"/>
          </w:tcPr>
          <w:p>
            <w:pPr>
              <w:jc w:val="center"/>
              <w:rPr>
                <w:b/>
                <w:sz w:val="21"/>
                <w:szCs w:val="21"/>
              </w:rPr>
            </w:pPr>
            <w:r>
              <w:rPr>
                <w:b/>
                <w:sz w:val="21"/>
                <w:szCs w:val="21"/>
              </w:rPr>
              <w:t>E:18.05.07,22.04.00</w:t>
            </w:r>
          </w:p>
          <w:p>
            <w:pPr>
              <w:jc w:val="center"/>
              <w:rPr>
                <w:b/>
                <w:sz w:val="21"/>
                <w:szCs w:val="21"/>
              </w:rPr>
            </w:pPr>
            <w:r>
              <w:rPr>
                <w:b/>
                <w:sz w:val="21"/>
                <w:szCs w:val="21"/>
              </w:rPr>
              <w:t>O:18.05.07,22.04.00</w:t>
            </w:r>
          </w:p>
        </w:tc>
        <w:tc>
          <w:tcPr>
            <w:tcW w:w="1729" w:type="dxa"/>
            <w:gridSpan w:val="2"/>
            <w:vAlign w:val="center"/>
          </w:tcPr>
          <w:p>
            <w:pPr>
              <w:jc w:val="center"/>
              <w:rPr>
                <w:b/>
                <w:sz w:val="21"/>
                <w:szCs w:val="21"/>
              </w:rPr>
            </w:pPr>
            <w:r>
              <w:rPr>
                <w:b/>
                <w:sz w:val="21"/>
                <w:szCs w:val="21"/>
              </w:rPr>
              <w:t>ISC-JSZJ-030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株洲旭阳机电科技开发有限公司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人数124人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湖南省株洲市天元区栗雨工业园45区</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412007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湖南省株洲市天元区栗雨工业园45区三鑫路9号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412007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湖南省株洲市高新技术产业开发区栗雨工业园四十五区</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412007</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邓西菲</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0731-22168791</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邓卓</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邓卓</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ascii="宋体"/>
                <w:b/>
                <w:sz w:val="21"/>
              </w:rPr>
              <w:t>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2020年09月24日 下午至2020年09月27日 上午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2" w:name="审核范围"/>
            <w:r>
              <w:rPr>
                <w:rFonts w:hint="eastAsia" w:ascii="宋体" w:hAnsi="宋体"/>
              </w:rPr>
              <w:t>E：铁路专用设备、铁路大型养路机械配套转向架、轨道交通车辆的生产</w:t>
            </w:r>
          </w:p>
          <w:p>
            <w:pPr>
              <w:spacing w:line="360" w:lineRule="exact"/>
              <w:rPr>
                <w:rFonts w:ascii="宋体" w:hAnsi="宋体"/>
                <w:b/>
                <w:sz w:val="21"/>
                <w:szCs w:val="21"/>
              </w:rPr>
            </w:pPr>
            <w:r>
              <w:rPr>
                <w:rFonts w:hint="eastAsia" w:ascii="宋体" w:hAnsi="宋体"/>
              </w:rPr>
              <w:t>O：铁路专用设备、铁路大型养路机械配套转向架、轨道交通车辆的生产及相关环境管理活动</w:t>
            </w:r>
            <w:bookmarkEnd w:id="2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E：18.05.07;22.04.00</w:t>
            </w:r>
          </w:p>
          <w:p>
            <w:pPr>
              <w:spacing w:line="260" w:lineRule="exact"/>
              <w:rPr>
                <w:rFonts w:ascii="宋体" w:hAnsi="宋体"/>
                <w:b/>
                <w:sz w:val="21"/>
                <w:szCs w:val="21"/>
              </w:rPr>
            </w:pPr>
            <w:r>
              <w:rPr>
                <w:rFonts w:ascii="宋体" w:hAnsi="宋体"/>
                <w:b/>
                <w:sz w:val="21"/>
                <w:szCs w:val="21"/>
              </w:rPr>
              <w:t>O：18.05.07;22.04.00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2022-12-23</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hAnsi="宋体" w:cs="Times New Roman"/>
                <w:b/>
                <w:sz w:val="21"/>
                <w:szCs w:val="21"/>
                <w:lang w:val="en-US" w:eastAsia="zh-CN"/>
              </w:rPr>
            </w:pPr>
          </w:p>
          <w:p>
            <w:pPr>
              <w:spacing w:line="260" w:lineRule="exact"/>
              <w:rPr>
                <w:rFonts w:ascii="宋体"/>
                <w:b/>
                <w:sz w:val="21"/>
              </w:rPr>
            </w:pPr>
            <w:r>
              <w:rPr>
                <w:rFonts w:hint="eastAsia" w:ascii="宋体" w:hAnsi="宋体" w:cs="Times New Roman"/>
                <w:b/>
                <w:sz w:val="21"/>
                <w:szCs w:val="21"/>
                <w:lang w:val="en-US" w:eastAsia="zh-CN"/>
              </w:rPr>
              <w:t>2019-08-28 -- 2019-09-07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pStyle w:val="2"/>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株洲旭阳机电科技开发有限公司</w:t>
            </w:r>
            <w:r>
              <w:rPr>
                <w:rFonts w:hint="eastAsia" w:ascii="Times New Roman" w:hAnsi="Times New Roman" w:eastAsia="宋体" w:cs="Times New Roman"/>
                <w:bCs w:val="0"/>
                <w:color w:val="000000" w:themeColor="text1"/>
                <w:spacing w:val="0"/>
                <w:kern w:val="2"/>
                <w:sz w:val="21"/>
                <w:szCs w:val="21"/>
                <w:lang w:val="en-US" w:eastAsia="zh-CN" w:bidi="ar-SA"/>
              </w:rPr>
              <w:t xml:space="preserve"> ，成立于2002-07-09 - 2027-07-08，企业信用代码9143020074060554XT,注册资本为5000万元的有限责任公司，注册地址：湖南省株洲市天元区栗雨工业园45区，经营范围：</w:t>
            </w:r>
            <w:r>
              <w:rPr>
                <w:rFonts w:hint="eastAsia" w:ascii="Times New Roman" w:hAnsi="Times New Roman" w:eastAsia="宋体" w:cs="Times New Roman"/>
                <w:bCs w:val="0"/>
                <w:color w:val="000000" w:themeColor="text1"/>
                <w:spacing w:val="0"/>
                <w:kern w:val="2"/>
                <w:sz w:val="21"/>
                <w:szCs w:val="21"/>
                <w:lang w:val="en-US" w:eastAsia="zh-CN" w:bidi="ar-SA"/>
              </w:rPr>
              <w:t>铁路机车车辆及动车组、轨道交通车辆、冶金专用设备、隧道施工装备的制造；铁路机车车辆配件、铁路专用设备及器材、配件制造；起重机制造、销售；起重设备安装服务；机械设备租赁；机电产品销售和进出口业务；电线、电缆销售；上述产品的技术咨询、转让及服务；轨道交通车辆的销售；计算机、办公设备和专用设备维修；机电设备的维修及保养服务；轨道交通机车、车辆及设备维修、保养；人工智能设备的研发、销售及技术服务；软件开发；软件技术服务；电子技术服务；信息系统集成服务；计算机网络平台的建设与开发；计算机检测控制系统的研发、服务、生产。（依法须经批准的项目，经相关部门批准后方可开展经营活动）。公司的主要客户群为全国各地的</w:t>
            </w:r>
            <w:r>
              <w:rPr>
                <w:rFonts w:hint="eastAsia" w:cs="Times New Roman"/>
                <w:bCs w:val="0"/>
                <w:color w:val="000000" w:themeColor="text1"/>
                <w:spacing w:val="0"/>
                <w:kern w:val="2"/>
                <w:sz w:val="21"/>
                <w:szCs w:val="21"/>
                <w:lang w:val="en-US" w:eastAsia="zh-CN" w:bidi="ar-SA"/>
              </w:rPr>
              <w:t>铁路施工单位，国企、央企</w:t>
            </w:r>
            <w:r>
              <w:rPr>
                <w:rFonts w:hint="eastAsia" w:ascii="Times New Roman" w:hAnsi="Times New Roman" w:eastAsia="宋体" w:cs="Times New Roman"/>
                <w:bCs w:val="0"/>
                <w:color w:val="000000" w:themeColor="text1"/>
                <w:spacing w:val="0"/>
                <w:kern w:val="2"/>
                <w:sz w:val="21"/>
                <w:szCs w:val="21"/>
                <w:lang w:val="en-US" w:eastAsia="zh-CN" w:bidi="ar-SA"/>
              </w:rPr>
              <w:t>；公司采用总经理负责制，层层把关，让用户真正放心</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tabs>
                <w:tab w:val="left" w:pos="720"/>
                <w:tab w:val="clear" w:pos="312"/>
              </w:tabs>
              <w:spacing w:line="4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tabs>
                <w:tab w:val="left" w:pos="720"/>
              </w:tabs>
              <w:spacing w:line="480" w:lineRule="exact"/>
              <w:rPr>
                <w:rFonts w:hint="eastAsia" w:ascii="楷体" w:hAnsi="楷体" w:eastAsia="楷体"/>
                <w:color w:val="000000" w:themeColor="text1"/>
                <w:sz w:val="24"/>
                <w:szCs w:val="24"/>
              </w:rPr>
            </w:pPr>
            <w:r>
              <w:rPr>
                <w:rFonts w:hint="eastAsia" w:ascii="楷体" w:hAnsi="楷体" w:eastAsia="楷体"/>
                <w:color w:val="000000" w:themeColor="text1"/>
                <w:sz w:val="24"/>
                <w:szCs w:val="24"/>
              </w:rPr>
              <w:t>公司的环境、职业健康安全方针：</w:t>
            </w:r>
          </w:p>
          <w:p>
            <w:pPr>
              <w:rPr>
                <w:rFonts w:hint="eastAsia" w:ascii="Times New Roman" w:hAnsi="Times New Roman" w:eastAsia="宋体" w:cs="Times New Roman"/>
                <w:color w:val="000000"/>
                <w:szCs w:val="21"/>
              </w:rPr>
            </w:pPr>
            <w:r>
              <w:rPr>
                <w:rFonts w:hint="eastAsia" w:ascii="楷体" w:hAnsi="楷体" w:eastAsia="楷体"/>
                <w:b/>
                <w:bCs/>
                <w:color w:val="000000" w:themeColor="text1"/>
                <w:sz w:val="24"/>
                <w:szCs w:val="24"/>
              </w:rPr>
              <w:t>“</w:t>
            </w:r>
            <w:r>
              <w:rPr>
                <w:rFonts w:hint="eastAsia" w:ascii="Times New Roman" w:hAnsi="Times New Roman" w:eastAsia="宋体" w:cs="Times New Roman"/>
                <w:color w:val="000000"/>
                <w:szCs w:val="21"/>
              </w:rPr>
              <w:t>守法诚信追求精品，预防污染保护环境；</w:t>
            </w:r>
          </w:p>
          <w:p>
            <w:pPr>
              <w:rPr>
                <w:rFonts w:hint="eastAsia" w:ascii="楷体" w:hAnsi="楷体" w:eastAsia="楷体"/>
                <w:b/>
                <w:bCs/>
                <w:color w:val="000000" w:themeColor="text1"/>
                <w:sz w:val="24"/>
                <w:szCs w:val="24"/>
              </w:rPr>
            </w:pPr>
            <w:r>
              <w:rPr>
                <w:rFonts w:hint="eastAsia" w:ascii="Times New Roman" w:hAnsi="Times New Roman" w:eastAsia="宋体" w:cs="Times New Roman"/>
                <w:color w:val="000000"/>
                <w:szCs w:val="21"/>
              </w:rPr>
              <w:t>关爱员工健康安全，持续改进追求卓越。</w:t>
            </w:r>
            <w:r>
              <w:rPr>
                <w:rFonts w:hint="eastAsia" w:ascii="楷体" w:hAnsi="楷体" w:eastAsia="楷体"/>
                <w:b/>
                <w:bCs/>
                <w:color w:val="000000" w:themeColor="text1"/>
                <w:sz w:val="24"/>
                <w:szCs w:val="24"/>
              </w:rPr>
              <w:t>”</w:t>
            </w:r>
          </w:p>
          <w:p>
            <w:pPr>
              <w:pStyle w:val="2"/>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铁路专用设备、铁路大型养路机械配套转向架、轨道交通车辆的生产</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300" w:lineRule="exact"/>
              <w:rPr>
                <w:rFonts w:ascii="宋体" w:hAnsi="宋体"/>
                <w:b/>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6</w:t>
            </w:r>
            <w:r>
              <w:rPr>
                <w:rFonts w:hint="eastAsia"/>
                <w:sz w:val="21"/>
                <w:szCs w:val="21"/>
              </w:rPr>
              <w:t>项，涉及：火灾和触电</w:t>
            </w:r>
            <w:r>
              <w:rPr>
                <w:rFonts w:hint="eastAsia"/>
                <w:sz w:val="21"/>
                <w:szCs w:val="21"/>
                <w:lang w:eastAsia="zh-CN"/>
              </w:rPr>
              <w:t>、机械伤害、职业病、起重伤害、</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pStyle w:val="2"/>
              <w:rPr>
                <w:rFonts w:ascii="宋体" w:hAnsi="宋体"/>
                <w:b/>
                <w:sz w:val="21"/>
                <w:szCs w:val="21"/>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90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bCs/>
                <w:szCs w:val="21"/>
              </w:rPr>
            </w:pPr>
          </w:p>
          <w:p>
            <w:pPr>
              <w:tabs>
                <w:tab w:val="left" w:pos="540"/>
              </w:tabs>
              <w:spacing w:line="240" w:lineRule="exact"/>
              <w:rPr>
                <w:rFonts w:ascii="宋体" w:hAnsi="宋体"/>
                <w:b/>
                <w:sz w:val="21"/>
                <w:szCs w:val="21"/>
              </w:rPr>
            </w:pPr>
            <w:r>
              <w:rPr>
                <w:rFonts w:hint="eastAsia"/>
                <w:bCs/>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124</w:t>
            </w:r>
            <w:r>
              <w:rPr>
                <w:rFonts w:hint="eastAsia"/>
                <w:bCs/>
                <w:szCs w:val="21"/>
              </w:rPr>
              <w:t>人，管理人员</w:t>
            </w:r>
            <w:r>
              <w:rPr>
                <w:rFonts w:hint="eastAsia"/>
                <w:bCs/>
                <w:szCs w:val="21"/>
                <w:lang w:val="en-US" w:eastAsia="zh-CN"/>
              </w:rPr>
              <w:t>30</w:t>
            </w:r>
            <w:r>
              <w:rPr>
                <w:rFonts w:hint="eastAsia"/>
                <w:bCs/>
                <w:szCs w:val="21"/>
              </w:rPr>
              <w:t>人。有专业的</w:t>
            </w:r>
            <w:r>
              <w:rPr>
                <w:rFonts w:hint="eastAsia"/>
                <w:bCs/>
                <w:szCs w:val="21"/>
                <w:lang w:eastAsia="zh-CN"/>
              </w:rPr>
              <w:t>生产</w:t>
            </w:r>
            <w:r>
              <w:rPr>
                <w:rFonts w:hint="eastAsia"/>
                <w:bCs/>
                <w:szCs w:val="21"/>
              </w:rPr>
              <w:t>人员</w:t>
            </w:r>
            <w:r>
              <w:rPr>
                <w:rFonts w:hint="eastAsia"/>
                <w:bCs/>
                <w:szCs w:val="21"/>
                <w:lang w:eastAsia="zh-CN"/>
              </w:rPr>
              <w:t>、技术人员</w:t>
            </w:r>
            <w:r>
              <w:rPr>
                <w:rFonts w:hint="eastAsia"/>
                <w:bCs/>
                <w:szCs w:val="21"/>
              </w:rPr>
              <w:t>，能满足</w:t>
            </w:r>
            <w:r>
              <w:rPr>
                <w:rFonts w:hint="eastAsia" w:ascii="宋体" w:hAnsi="宋体"/>
                <w:szCs w:val="21"/>
              </w:rPr>
              <w:t>铁路专用设备、铁路大型养路机械配套转向架、轨道交通车辆的生产</w:t>
            </w:r>
            <w:r>
              <w:rPr>
                <w:rFonts w:hint="eastAsia" w:ascii="宋体" w:hAnsi="宋体" w:cs="宋体"/>
                <w:kern w:val="0"/>
                <w:szCs w:val="21"/>
                <w:lang w:eastAsia="zh-CN"/>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基础设施</w:t>
            </w:r>
          </w:p>
          <w:p>
            <w:pPr>
              <w:spacing w:line="240" w:lineRule="exact"/>
              <w:rPr>
                <w:rFonts w:hint="eastAsia" w:ascii="宋体" w:hAnsi="宋体" w:eastAsia="宋体" w:cs="宋体"/>
                <w:color w:val="auto"/>
                <w:sz w:val="21"/>
                <w:szCs w:val="21"/>
              </w:rPr>
            </w:pPr>
            <w:r>
              <w:rPr>
                <w:rFonts w:hint="eastAsia" w:ascii="宋体" w:hAnsi="宋体" w:cs="宋体"/>
                <w:color w:val="auto"/>
                <w:sz w:val="21"/>
                <w:szCs w:val="21"/>
                <w:lang w:eastAsia="zh-CN"/>
              </w:rPr>
              <w:t>生产设施：</w:t>
            </w:r>
            <w:r>
              <w:rPr>
                <w:rFonts w:hint="eastAsia"/>
                <w:color w:val="auto"/>
              </w:rPr>
              <w:t>二氧化碳焊机、电焊机、逆变直流弧焊机、摇 臂 钻、车床、压管机、剥管机、镗床、弓锯床、铣边机、等离子切割机、仿形切割机</w:t>
            </w:r>
            <w:r>
              <w:rPr>
                <w:rFonts w:hint="eastAsia" w:ascii="宋体" w:hAnsi="宋体" w:cs="宋体"/>
                <w:color w:val="auto"/>
                <w:sz w:val="21"/>
                <w:szCs w:val="21"/>
                <w:lang w:val="en-US" w:eastAsia="zh-CN"/>
              </w:rPr>
              <w:t>等</w:t>
            </w:r>
            <w:r>
              <w:rPr>
                <w:rFonts w:hint="eastAsia" w:ascii="宋体" w:hAnsi="宋体" w:cs="宋体"/>
                <w:color w:val="auto"/>
                <w:sz w:val="21"/>
                <w:szCs w:val="21"/>
                <w:lang w:eastAsia="zh-CN"/>
              </w:rPr>
              <w:t>设施</w:t>
            </w:r>
            <w:r>
              <w:rPr>
                <w:rFonts w:hint="eastAsia" w:ascii="宋体" w:hAnsi="宋体" w:eastAsia="宋体" w:cs="宋体"/>
                <w:color w:val="auto"/>
                <w:sz w:val="21"/>
                <w:szCs w:val="21"/>
              </w:rPr>
              <w:t>等</w:t>
            </w:r>
          </w:p>
          <w:p>
            <w:pPr>
              <w:pStyle w:val="2"/>
              <w:rPr>
                <w:rFonts w:hint="eastAsia" w:eastAsia="宋体"/>
                <w:color w:val="auto"/>
                <w:lang w:eastAsia="zh-CN"/>
              </w:rPr>
            </w:pPr>
            <w:r>
              <w:rPr>
                <w:rFonts w:hint="eastAsia" w:ascii="宋体" w:hAnsi="宋体" w:cs="宋体"/>
                <w:color w:val="auto"/>
                <w:sz w:val="21"/>
                <w:szCs w:val="21"/>
                <w:lang w:eastAsia="zh-CN"/>
              </w:rPr>
              <w:t>办公设施：电脑、打印机、复印机等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eastAsia="zh-CN"/>
              </w:rPr>
              <w:t>生产车间、</w:t>
            </w:r>
            <w:r>
              <w:rPr>
                <w:rFonts w:hint="eastAsia"/>
              </w:rPr>
              <w:t>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w:t>
            </w:r>
            <w:r>
              <w:rPr>
                <w:rFonts w:hint="eastAsia"/>
                <w:lang w:eastAsia="zh-CN"/>
              </w:rPr>
              <w:t>生产环境及职业健康安全运行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b/>
                <w:color w:val="000000" w:themeColor="text1"/>
                <w:sz w:val="22"/>
                <w:szCs w:val="22"/>
              </w:rPr>
              <w:t>移动式烟尘净化设备</w:t>
            </w:r>
            <w:r>
              <w:rPr>
                <w:rFonts w:hint="eastAsia"/>
                <w:lang w:eastAsia="zh-CN"/>
              </w:rPr>
              <w:t>、</w:t>
            </w:r>
            <w:r>
              <w:rPr>
                <w:rFonts w:hint="eastAsia"/>
                <w:b/>
                <w:color w:val="000000" w:themeColor="text1"/>
                <w:sz w:val="22"/>
                <w:szCs w:val="22"/>
              </w:rPr>
              <w:t>干式漆雾净化装置（过滤棉</w:t>
            </w:r>
            <w:r>
              <w:rPr>
                <w:rFonts w:hint="eastAsia"/>
                <w:b/>
                <w:color w:val="000000" w:themeColor="text1"/>
                <w:sz w:val="22"/>
                <w:szCs w:val="22"/>
                <w:lang w:val="en-US" w:eastAsia="zh-CN"/>
              </w:rPr>
              <w:t>+</w:t>
            </w:r>
            <w:r>
              <w:rPr>
                <w:rFonts w:hint="eastAsia"/>
                <w:b/>
                <w:color w:val="000000" w:themeColor="text1"/>
                <w:sz w:val="22"/>
                <w:szCs w:val="22"/>
              </w:rPr>
              <w:t>活性碳)</w:t>
            </w:r>
            <w:r>
              <w:rPr>
                <w:rFonts w:hint="eastAsia"/>
                <w:b/>
                <w:color w:val="000000" w:themeColor="text1"/>
                <w:sz w:val="22"/>
                <w:szCs w:val="22"/>
                <w:lang w:eastAsia="zh-CN"/>
              </w:rPr>
              <w:t>、</w:t>
            </w:r>
            <w:r>
              <w:rPr>
                <w:rFonts w:hint="eastAsia"/>
                <w:lang w:eastAsia="zh-CN"/>
              </w:rPr>
              <w:t>灭火器</w:t>
            </w:r>
            <w:r>
              <w:rPr>
                <w:rFonts w:hint="eastAsia"/>
              </w:rPr>
              <w:t>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w:t>
            </w:r>
            <w:r>
              <w:rPr>
                <w:rFonts w:hint="eastAsia"/>
                <w:lang w:eastAsia="zh-CN"/>
              </w:rPr>
              <w:t>、</w:t>
            </w:r>
            <w:r>
              <w:rPr>
                <w:rFonts w:hint="eastAsia"/>
                <w:lang w:val="en-US" w:eastAsia="zh-CN"/>
              </w:rPr>
              <w:t>消防栓</w:t>
            </w:r>
            <w:r>
              <w:rPr>
                <w:rFonts w:hint="eastAsia"/>
              </w:rPr>
              <w:t>等环保设施。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pStyle w:val="2"/>
              <w:rPr>
                <w:rFonts w:hint="eastAsia"/>
                <w:b/>
                <w:color w:val="000000" w:themeColor="text1"/>
                <w:sz w:val="20"/>
                <w:szCs w:val="20"/>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 w:val="21"/>
                <w:szCs w:val="21"/>
              </w:rPr>
              <w:t>火灾和触电</w:t>
            </w:r>
            <w:r>
              <w:rPr>
                <w:rFonts w:hint="eastAsia"/>
                <w:sz w:val="21"/>
                <w:szCs w:val="21"/>
                <w:lang w:eastAsia="zh-CN"/>
              </w:rPr>
              <w:t>、机械伤害、职业病、起重伤害、</w:t>
            </w:r>
            <w:r>
              <w:rPr>
                <w:rFonts w:hint="eastAsia"/>
                <w:sz w:val="21"/>
                <w:szCs w:val="21"/>
                <w:lang w:val="en-US" w:eastAsia="zh-CN"/>
              </w:rPr>
              <w:t>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val="0"/>
                <w:bCs/>
                <w:color w:val="000000" w:themeColor="text1"/>
                <w:sz w:val="20"/>
                <w:szCs w:val="20"/>
                <w:lang w:eastAsia="zh-CN"/>
              </w:rPr>
              <w:t>提供特种设备检测报告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bCs/>
              </w:rPr>
            </w:pPr>
            <w:r>
              <w:rPr>
                <w:rFonts w:hint="eastAsia"/>
                <w:b/>
                <w:bCs/>
              </w:rPr>
              <w:t>11 .对危险化学品销售、使用、储存、运输处置，规定的执行力度(必要时); （适用时）</w:t>
            </w:r>
          </w:p>
          <w:p>
            <w:pPr>
              <w:pStyle w:val="2"/>
              <w:rPr>
                <w:rFonts w:hint="eastAsia"/>
                <w:b/>
                <w:color w:val="FF0000"/>
                <w:sz w:val="20"/>
                <w:szCs w:val="20"/>
              </w:rPr>
            </w:pPr>
          </w:p>
          <w:p>
            <w:pPr>
              <w:pStyle w:val="2"/>
              <w:numPr>
                <w:ilvl w:val="0"/>
                <w:numId w:val="4"/>
              </w:numPr>
              <w:rPr>
                <w:rFonts w:hint="eastAsia" w:ascii="Times New Roman" w:hAnsi="Times New Roman" w:eastAsia="宋体" w:cs="Times New Roman"/>
                <w:b w:val="0"/>
                <w:bCs/>
                <w:color w:val="auto"/>
                <w:spacing w:val="0"/>
                <w:kern w:val="2"/>
                <w:sz w:val="20"/>
                <w:szCs w:val="20"/>
                <w:lang w:val="en-US" w:eastAsia="zh-CN" w:bidi="ar-SA"/>
              </w:rPr>
            </w:pPr>
            <w:r>
              <w:rPr>
                <w:rFonts w:hint="eastAsia" w:ascii="Times New Roman" w:hAnsi="Times New Roman" w:eastAsia="宋体" w:cs="Times New Roman"/>
                <w:b w:val="0"/>
                <w:bCs/>
                <w:color w:val="auto"/>
                <w:spacing w:val="0"/>
                <w:kern w:val="2"/>
                <w:sz w:val="20"/>
                <w:szCs w:val="20"/>
                <w:lang w:val="en-US" w:eastAsia="zh-CN" w:bidi="ar-SA"/>
              </w:rPr>
              <w:t>该公司使用二氧化碳气瓶，提供</w:t>
            </w:r>
            <w:r>
              <w:rPr>
                <w:rFonts w:hint="eastAsia" w:cs="Times New Roman"/>
                <w:b w:val="0"/>
                <w:bCs/>
                <w:color w:val="auto"/>
                <w:spacing w:val="0"/>
                <w:kern w:val="2"/>
                <w:sz w:val="20"/>
                <w:szCs w:val="20"/>
                <w:lang w:val="en-US" w:eastAsia="zh-CN" w:bidi="ar-SA"/>
              </w:rPr>
              <w:t>有气瓶</w:t>
            </w:r>
            <w:r>
              <w:rPr>
                <w:rFonts w:hint="eastAsia" w:ascii="Times New Roman" w:hAnsi="Times New Roman" w:eastAsia="宋体" w:cs="Times New Roman"/>
                <w:b w:val="0"/>
                <w:bCs/>
                <w:color w:val="auto"/>
                <w:spacing w:val="0"/>
                <w:kern w:val="2"/>
                <w:sz w:val="20"/>
                <w:szCs w:val="20"/>
                <w:lang w:val="en-US" w:eastAsia="zh-CN" w:bidi="ar-SA"/>
              </w:rPr>
              <w:t>供应商的资质</w:t>
            </w:r>
          </w:p>
          <w:p>
            <w:pPr>
              <w:pStyle w:val="2"/>
              <w:numPr>
                <w:ilvl w:val="0"/>
                <w:numId w:val="4"/>
              </w:numPr>
              <w:rPr>
                <w:rFonts w:hint="eastAsia" w:ascii="Times New Roman" w:hAnsi="Times New Roman" w:eastAsia="宋体" w:cs="Times New Roman"/>
                <w:b w:val="0"/>
                <w:bCs/>
                <w:color w:val="auto"/>
                <w:spacing w:val="0"/>
                <w:kern w:val="2"/>
                <w:sz w:val="20"/>
                <w:szCs w:val="20"/>
                <w:lang w:val="en-US" w:eastAsia="zh-CN" w:bidi="ar-SA"/>
              </w:rPr>
            </w:pPr>
            <w:r>
              <w:rPr>
                <w:rFonts w:hint="eastAsia" w:cs="Times New Roman"/>
                <w:b w:val="0"/>
                <w:bCs/>
                <w:color w:val="auto"/>
                <w:spacing w:val="0"/>
                <w:kern w:val="2"/>
                <w:sz w:val="20"/>
                <w:szCs w:val="20"/>
                <w:lang w:val="en-US" w:eastAsia="zh-CN" w:bidi="ar-SA"/>
              </w:rPr>
              <w:t>公司有废油桶、废油手套，提供危废处理协议</w:t>
            </w:r>
          </w:p>
          <w:p>
            <w:pPr>
              <w:pStyle w:val="2"/>
              <w:numPr>
                <w:ilvl w:val="0"/>
                <w:numId w:val="4"/>
              </w:numPr>
              <w:ind w:left="0" w:leftChars="0" w:firstLine="0" w:firstLineChars="0"/>
              <w:rPr>
                <w:rFonts w:hint="default"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 xml:space="preserve"> 公司设有危废暂存间，专人管理。</w:t>
            </w:r>
          </w:p>
          <w:p>
            <w:pPr>
              <w:pStyle w:val="2"/>
              <w:numPr>
                <w:ilvl w:val="0"/>
                <w:numId w:val="0"/>
              </w:numPr>
              <w:ind w:left="0" w:leftChars="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hint="eastAsia"/>
              </w:rPr>
            </w:pPr>
            <w:r>
              <w:rPr>
                <w:rFonts w:hint="eastAsia"/>
              </w:rPr>
              <w:t>建立有《内部审核控制程序》，规定了内审频次一年一次，内审时间：20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15-16日</w:t>
            </w:r>
            <w:r>
              <w:rPr>
                <w:rFonts w:hint="eastAsia"/>
              </w:rPr>
              <w:t>，拟定了审核实施表，明确了内审范围，内审人员经培训合格上岗，能力满足要求，未出现审核本部门情况，内审不符合项</w:t>
            </w:r>
            <w:r>
              <w:rPr>
                <w:rFonts w:hint="eastAsia"/>
                <w:lang w:val="en-US" w:eastAsia="zh-CN"/>
              </w:rPr>
              <w:t>1</w:t>
            </w:r>
            <w:r>
              <w:rPr>
                <w:rFonts w:hint="eastAsia"/>
              </w:rPr>
              <w:t>项，已及时采取纠正措施后，经内审员验证关闭。内审的有效性需要改善</w:t>
            </w:r>
          </w:p>
          <w:p>
            <w:pPr>
              <w:spacing w:line="240" w:lineRule="exact"/>
              <w:rPr>
                <w:rFonts w:ascii="宋体" w:hAnsi="宋体"/>
                <w:b/>
                <w:sz w:val="21"/>
                <w:szCs w:val="21"/>
              </w:rPr>
            </w:pP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ascii="宋体" w:hAnsi="宋体"/>
                <w:b/>
                <w:sz w:val="21"/>
                <w:szCs w:val="21"/>
              </w:rPr>
            </w:pPr>
            <w:r>
              <w:rPr>
                <w:rFonts w:hint="eastAsia"/>
                <w:bCs/>
                <w:szCs w:val="21"/>
                <w:lang w:val="en-US" w:eastAsia="zh-CN"/>
              </w:rPr>
              <w:t>提供环境影响评价报告、环评批复、竣工环境验收报告、2019年环境监测报告等，见附件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提供有</w:t>
            </w:r>
            <w:r>
              <w:rPr>
                <w:rFonts w:hint="eastAsia"/>
                <w:b/>
                <w:color w:val="000000" w:themeColor="text1"/>
                <w:sz w:val="20"/>
                <w:szCs w:val="20"/>
              </w:rPr>
              <w:t>职业病危害因素监测</w:t>
            </w:r>
            <w:r>
              <w:rPr>
                <w:rFonts w:hint="eastAsia"/>
                <w:b/>
                <w:color w:val="000000" w:themeColor="text1"/>
                <w:sz w:val="20"/>
                <w:szCs w:val="20"/>
                <w:lang w:val="en-US" w:eastAsia="zh-CN"/>
              </w:rPr>
              <w:t>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pPr>
            <w:r>
              <w:t xml:space="preserve">1 </w:t>
            </w:r>
            <w:r>
              <w:rPr>
                <w:rFonts w:hint="eastAsia"/>
              </w:rPr>
              <w:t>纠正措施的实施及效果</w:t>
            </w:r>
            <w:r>
              <w:t>;</w:t>
            </w:r>
          </w:p>
          <w:p>
            <w:pPr>
              <w:spacing w:line="240" w:lineRule="exact"/>
              <w:rPr>
                <w:rFonts w:hint="eastAsia"/>
              </w:rPr>
            </w:pPr>
          </w:p>
          <w:p>
            <w:pPr>
              <w:spacing w:line="240" w:lineRule="exact"/>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lang w:val="en-US" w:eastAsia="zh-CN"/>
              </w:rPr>
            </w:pPr>
            <w:r>
              <w:rPr>
                <w:rFonts w:hint="eastAsia"/>
              </w:rPr>
              <w:t>上次不符合的整改情况</w:t>
            </w:r>
            <w:r>
              <w:rPr>
                <w:rFonts w:hint="eastAsia"/>
                <w:lang w:val="en-US" w:eastAsia="zh-CN"/>
              </w:rPr>
              <w:t>:</w:t>
            </w:r>
          </w:p>
          <w:p>
            <w:pPr>
              <w:numPr>
                <w:ilvl w:val="0"/>
                <w:numId w:val="0"/>
              </w:numPr>
              <w:spacing w:line="240" w:lineRule="exact"/>
              <w:ind w:leftChars="0"/>
              <w:rPr>
                <w:rFonts w:hint="default" w:ascii="宋体" w:hAnsi="宋体"/>
                <w:b/>
                <w:sz w:val="21"/>
                <w:szCs w:val="21"/>
                <w:lang w:val="en-US" w:eastAsia="zh-CN"/>
              </w:rPr>
            </w:pPr>
            <w:r>
              <w:rPr>
                <w:rFonts w:hint="eastAsia" w:ascii="宋体" w:hAnsi="宋体"/>
                <w:b/>
                <w:sz w:val="21"/>
                <w:szCs w:val="21"/>
                <w:lang w:val="en-US" w:eastAsia="zh-CN"/>
              </w:rPr>
              <w:t>初审不符合：“灭火器箱损害、操作工人不戴安全帽、焊接时，乙炔气瓶与氧气瓶距离不足5米</w:t>
            </w:r>
            <w:r>
              <w:rPr>
                <w:rFonts w:hint="eastAsia" w:ascii="宋体" w:hAnsi="宋体"/>
                <w:b/>
                <w:sz w:val="21"/>
                <w:szCs w:val="21"/>
                <w:lang w:eastAsia="zh-CN"/>
              </w:rPr>
              <w:t>”</w:t>
            </w:r>
            <w:r>
              <w:rPr>
                <w:rFonts w:hint="eastAsia" w:ascii="宋体" w:hAnsi="宋体"/>
                <w:b/>
                <w:sz w:val="21"/>
                <w:szCs w:val="21"/>
                <w:lang w:val="en-US" w:eastAsia="zh-CN"/>
              </w:rPr>
              <w:t>。本次远程视频未发现此情况，整改有效</w:t>
            </w:r>
          </w:p>
          <w:p>
            <w:pPr>
              <w:pStyle w:val="2"/>
              <w:numPr>
                <w:ilvl w:val="0"/>
                <w:numId w:val="0"/>
              </w:numPr>
              <w:ind w:leftChars="0"/>
              <w:rPr>
                <w:rFonts w:hint="default"/>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株洲旭阳机电科技开发有限公司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inline distT="0" distB="0" distL="114300" distR="114300">
            <wp:extent cx="904875" cy="224790"/>
            <wp:effectExtent l="0" t="0" r="952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24790"/>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2020.9.27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22479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22479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08328D"/>
    <w:multiLevelType w:val="singleLevel"/>
    <w:tmpl w:val="CB08328D"/>
    <w:lvl w:ilvl="0" w:tentative="0">
      <w:start w:val="3"/>
      <w:numFmt w:val="decimal"/>
      <w:lvlText w:val="%1."/>
      <w:lvlJc w:val="left"/>
      <w:pPr>
        <w:tabs>
          <w:tab w:val="left" w:pos="312"/>
        </w:tabs>
      </w:pPr>
    </w:lvl>
  </w:abstractNum>
  <w:abstractNum w:abstractNumId="1">
    <w:nsid w:val="F16C66C2"/>
    <w:multiLevelType w:val="singleLevel"/>
    <w:tmpl w:val="F16C66C2"/>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67349F5"/>
    <w:multiLevelType w:val="singleLevel"/>
    <w:tmpl w:val="567349F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F52D05"/>
    <w:rsid w:val="33C57E9E"/>
    <w:rsid w:val="48351493"/>
    <w:rsid w:val="7A497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2020-09-27T12:29:23Z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