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广州市广排检测技术有限公司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广州市越秀区建设六马路33号2514房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沈文亮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020-83789795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</w:rPr>
              <w:t>李翔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0319-2019-QEO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Q:补充,E:补充,O:补充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Q：地下管线检测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E：地下管线检测及相关环境管理活动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O：地下管线检测及相关职业健康安全管理活动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Q：34.02.00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E：34.02.00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O：34.02.00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2020年09月09日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2020年09月09日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2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2018-N1QMS-3014142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2020-N1EMS-3014142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2020-N1OHSMS-3014142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O:34.02.00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O:实习审核员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2017-N0QMS-1222864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2020-N0EMS-2222864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2020-N0OHSMS-2222864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65" w:hRule="atLeast"/>
        </w:trPr>
        <w:tc>
          <w:tcPr>
            <w:tcW w:w="1395" w:type="dxa"/>
            <w:gridSpan w:val="3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22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2020.9.8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2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213" w:type="dxa"/>
            <w:gridSpan w:val="5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13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bookmarkStart w:id="18" w:name="_GoBack" w:colFirst="2" w:colLast="6"/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213" w:type="dxa"/>
            <w:gridSpan w:val="5"/>
            <w:vAlign w:val="top"/>
          </w:tcPr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9:00-</w:t>
            </w:r>
          </w:p>
          <w:p>
            <w:pPr>
              <w:pStyle w:val="2"/>
              <w:rPr>
                <w:rFonts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10:00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tabs>
                <w:tab w:val="left" w:pos="2681"/>
              </w:tabs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管理层（含员工代表）</w:t>
            </w:r>
          </w:p>
          <w:p>
            <w:pPr>
              <w:tabs>
                <w:tab w:val="left" w:pos="2681"/>
              </w:tabs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602" w:type="dxa"/>
            <w:gridSpan w:val="6"/>
            <w:vAlign w:val="top"/>
          </w:tcPr>
          <w:p>
            <w:pPr>
              <w:tabs>
                <w:tab w:val="left" w:pos="2681"/>
              </w:tabs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 xml:space="preserve">Q:4.1/4.2/4.3/4.4/5.1/5.2/5.3/6.1/6.2/6.3/7.1.1/9.1.1/9.3/10.1/10.3 </w:t>
            </w:r>
          </w:p>
          <w:p>
            <w:pPr>
              <w:tabs>
                <w:tab w:val="left" w:pos="2681"/>
              </w:tabs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E:4.1/4.2/4.3/4.4/5.1/5.2/5.3/6.1.1/6.1.4/6.2/7.1/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9.1.1/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9.3/10.1/10.3</w:t>
            </w:r>
          </w:p>
          <w:p>
            <w:pPr>
              <w:tabs>
                <w:tab w:val="left" w:pos="2681"/>
              </w:tabs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S:4.1/4.2/4.3/4.4/5.1/5.2/5.3/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5.4/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6.1.1/6.1.4/6.2/7.1/7.4/9.1.1/9.3/10.1/10.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2</w:t>
            </w:r>
          </w:p>
          <w:p>
            <w:pPr>
              <w:tabs>
                <w:tab w:val="left" w:pos="2681"/>
              </w:tabs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资质验证/范围再确认/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上传审核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问题验证/投诉或事故/政府主管部门监督抽查情况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/标志使用情况/人员变化</w:t>
            </w:r>
          </w:p>
        </w:tc>
        <w:tc>
          <w:tcPr>
            <w:tcW w:w="2795" w:type="dxa"/>
            <w:gridSpan w:val="7"/>
            <w:vAlign w:val="top"/>
          </w:tcPr>
          <w:p>
            <w:pPr>
              <w:tabs>
                <w:tab w:val="left" w:pos="2681"/>
              </w:tabs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与管理层有关的质量、环境、职业健康安全管理活动等</w:t>
            </w:r>
          </w:p>
          <w:p>
            <w:pPr>
              <w:tabs>
                <w:tab w:val="left" w:pos="2681"/>
              </w:tabs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AB</w:t>
            </w:r>
          </w:p>
        </w:tc>
      </w:tr>
      <w:bookmark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  <w:vAlign w:val="top"/>
          </w:tcPr>
          <w:p>
            <w:pPr>
              <w:pStyle w:val="2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10:00-</w:t>
            </w:r>
          </w:p>
          <w:p>
            <w:pPr>
              <w:pStyle w:val="2"/>
              <w:rPr>
                <w:rFonts w:hint="eastAsia" w:ascii="宋体" w:hAnsi="宋体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11:00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pStyle w:val="2"/>
              <w:rPr>
                <w:rFonts w:hint="eastAsia" w:ascii="宋体" w:hAnsi="宋体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业务部</w:t>
            </w:r>
          </w:p>
        </w:tc>
        <w:tc>
          <w:tcPr>
            <w:tcW w:w="2602" w:type="dxa"/>
            <w:gridSpan w:val="6"/>
            <w:vAlign w:val="top"/>
          </w:tcPr>
          <w:p>
            <w:pPr>
              <w:tabs>
                <w:tab w:val="left" w:pos="2681"/>
              </w:tabs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QES:5.3/6.2  ES:6.1.2/8.1/8.2   Q:8.2/9.1.2</w:t>
            </w:r>
          </w:p>
        </w:tc>
        <w:tc>
          <w:tcPr>
            <w:tcW w:w="2795" w:type="dxa"/>
            <w:gridSpan w:val="7"/>
            <w:vAlign w:val="top"/>
          </w:tcPr>
          <w:p>
            <w:pPr>
              <w:tabs>
                <w:tab w:val="left" w:pos="2681"/>
              </w:tabs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销售过程及合同管理；顾客满意调查等与本部门有关的质量运行控制等；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  <w:vAlign w:val="top"/>
          </w:tcPr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11:00-</w:t>
            </w:r>
          </w:p>
          <w:p>
            <w:pPr>
              <w:pStyle w:val="2"/>
              <w:rPr>
                <w:rFonts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12:30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档案室</w:t>
            </w:r>
          </w:p>
        </w:tc>
        <w:tc>
          <w:tcPr>
            <w:tcW w:w="2602" w:type="dxa"/>
            <w:gridSpan w:val="6"/>
            <w:vAlign w:val="center"/>
          </w:tcPr>
          <w:p>
            <w:pPr>
              <w:tabs>
                <w:tab w:val="left" w:pos="2681"/>
              </w:tabs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QES:5.3/6.2   ES:6.1.2/8.1/8.2   Q:7.5.3/8.5.2/8.5.4</w:t>
            </w:r>
          </w:p>
        </w:tc>
        <w:tc>
          <w:tcPr>
            <w:tcW w:w="2795" w:type="dxa"/>
            <w:gridSpan w:val="7"/>
            <w:vAlign w:val="top"/>
          </w:tcPr>
          <w:p>
            <w:pPr>
              <w:tabs>
                <w:tab w:val="left" w:pos="2681"/>
              </w:tabs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档案室的质量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环境、职业健康安全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管理活动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  <w:vAlign w:val="top"/>
          </w:tcPr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13:00-</w:t>
            </w:r>
          </w:p>
          <w:p>
            <w:pPr>
              <w:pStyle w:val="2"/>
              <w:rPr>
                <w:rFonts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:00</w:t>
            </w:r>
          </w:p>
        </w:tc>
        <w:tc>
          <w:tcPr>
            <w:tcW w:w="1560" w:type="dxa"/>
            <w:gridSpan w:val="2"/>
            <w:vAlign w:val="top"/>
          </w:tcPr>
          <w:p>
            <w:r>
              <w:rPr>
                <w:rFonts w:hint="eastAsia"/>
              </w:rPr>
              <w:t>行政人事部</w:t>
            </w:r>
          </w:p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(含财务）</w:t>
            </w:r>
          </w:p>
          <w:p>
            <w:pPr>
              <w:pStyle w:val="2"/>
              <w:rPr>
                <w:rFonts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2" w:type="dxa"/>
            <w:gridSpan w:val="6"/>
            <w:vAlign w:val="top"/>
          </w:tcPr>
          <w:p>
            <w:pPr>
              <w:tabs>
                <w:tab w:val="left" w:pos="2681"/>
              </w:tabs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Q:5.3/6.1/6.2/7.1.2/7.2/7.3/7.4/7.5/8.4/9.1.3/9.2/10.2</w:t>
            </w:r>
          </w:p>
          <w:p>
            <w:pPr>
              <w:tabs>
                <w:tab w:val="left" w:pos="2681"/>
              </w:tabs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E:5.3/6.1.2/6.1.1/6.1.3/6.2/7.2/7.3/7.4/7.5/8.1/8.2/9.2/10.1/10.2/6.1.3/9.1.1/9.1.2</w:t>
            </w:r>
          </w:p>
          <w:p>
            <w:pPr>
              <w:tabs>
                <w:tab w:val="left" w:pos="2681"/>
              </w:tabs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S:5.3/6.1.2/6.1.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/6.1.3/6.2/7.2/7.3/7.4/7.5/8.1/8.6/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9.1.2/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9.2/10.1/10.2</w:t>
            </w:r>
          </w:p>
          <w:p>
            <w:pPr>
              <w:tabs>
                <w:tab w:val="left" w:pos="2681"/>
              </w:tabs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95" w:type="dxa"/>
            <w:gridSpan w:val="7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tabs>
                <w:tab w:val="left" w:pos="2681"/>
              </w:tabs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部门职责权限、目标管理方案,风险与机遇；人力资源管理；内部审核，环境和职业健康安全运行控制等。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2020.9.9</w:t>
            </w:r>
          </w:p>
        </w:tc>
        <w:tc>
          <w:tcPr>
            <w:tcW w:w="1213" w:type="dxa"/>
            <w:gridSpan w:val="5"/>
            <w:vAlign w:val="top"/>
          </w:tcPr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:00-</w:t>
            </w:r>
          </w:p>
          <w:p>
            <w:pPr>
              <w:pStyle w:val="2"/>
              <w:rPr>
                <w:rFonts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:00</w:t>
            </w:r>
          </w:p>
        </w:tc>
        <w:tc>
          <w:tcPr>
            <w:tcW w:w="1560" w:type="dxa"/>
            <w:gridSpan w:val="2"/>
            <w:vAlign w:val="top"/>
          </w:tcPr>
          <w:p/>
          <w:p>
            <w:r>
              <w:rPr>
                <w:rFonts w:hint="eastAsia"/>
              </w:rPr>
              <w:t>总工办</w:t>
            </w:r>
          </w:p>
          <w:p>
            <w:r>
              <w:rPr>
                <w:rFonts w:hint="eastAsia"/>
              </w:rPr>
              <w:t>(含临时场所)</w:t>
            </w:r>
          </w:p>
          <w:p>
            <w:pPr>
              <w:pStyle w:val="2"/>
              <w:rPr>
                <w:rFonts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602" w:type="dxa"/>
            <w:gridSpan w:val="6"/>
            <w:vAlign w:val="center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Q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7.1.3/7.1.4/8.1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/8.3/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8.5/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8.6/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8.7/10.2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E:5.3/6.2/6.1.2/8.1/8.2</w:t>
            </w:r>
          </w:p>
          <w:p>
            <w:pPr>
              <w:snapToGrid w:val="0"/>
              <w:spacing w:line="260" w:lineRule="exact"/>
              <w:rPr>
                <w:rFonts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S:5.3/6.2/6.1.2/8.1/8.2</w:t>
            </w:r>
          </w:p>
        </w:tc>
        <w:tc>
          <w:tcPr>
            <w:tcW w:w="2795" w:type="dxa"/>
            <w:gridSpan w:val="7"/>
            <w:vAlign w:val="top"/>
          </w:tcPr>
          <w:p>
            <w:pPr>
              <w:tabs>
                <w:tab w:val="left" w:pos="2681"/>
              </w:tabs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部门职责权限、目标管理方案、基础设施、过程环境、生产实现过程、产品和服务的要求、危险源辨识、风险评价和风险控制措施的确定、应急准备和响应及相应环境/职业健康安全管理体系运行过程控制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  <w:vAlign w:val="top"/>
          </w:tcPr>
          <w:p>
            <w:pPr>
              <w:rPr>
                <w:rFonts w:ascii="宋体" w:hAnsi="宋体"/>
                <w:b/>
                <w:bCs/>
                <w:spacing w:val="1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10"/>
                <w:sz w:val="21"/>
                <w:szCs w:val="21"/>
              </w:rPr>
              <w:t>16:00-</w:t>
            </w:r>
          </w:p>
          <w:p>
            <w:pPr>
              <w:rPr>
                <w:rFonts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pacing w:val="10"/>
                <w:sz w:val="21"/>
                <w:szCs w:val="21"/>
              </w:rPr>
              <w:t>16:30</w:t>
            </w:r>
          </w:p>
        </w:tc>
        <w:tc>
          <w:tcPr>
            <w:tcW w:w="6957" w:type="dxa"/>
            <w:gridSpan w:val="15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与受审核方领导层沟通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  <w:vAlign w:val="top"/>
          </w:tcPr>
          <w:p>
            <w:pPr>
              <w:rPr>
                <w:rFonts w:ascii="宋体" w:hAnsi="宋体"/>
                <w:b/>
                <w:bCs/>
                <w:spacing w:val="1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10"/>
                <w:sz w:val="21"/>
                <w:szCs w:val="21"/>
              </w:rPr>
              <w:t>16:30-</w:t>
            </w:r>
          </w:p>
          <w:p>
            <w:pPr>
              <w:rPr>
                <w:rFonts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pacing w:val="10"/>
                <w:sz w:val="21"/>
                <w:szCs w:val="21"/>
              </w:rPr>
              <w:t>17:00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rPr>
                <w:rFonts w:ascii="宋体" w:hAnsi="宋体"/>
                <w:b/>
                <w:bCs/>
                <w:sz w:val="18"/>
              </w:rPr>
            </w:pPr>
          </w:p>
          <w:p>
            <w:pPr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全体</w:t>
            </w:r>
          </w:p>
          <w:p>
            <w:pPr>
              <w:rPr>
                <w:rFonts w:ascii="宋体" w:hAnsi="宋体" w:eastAsia="宋体" w:cs="Times New Roman"/>
                <w:b/>
                <w:bCs/>
                <w:kern w:val="2"/>
                <w:sz w:val="18"/>
                <w:lang w:val="en-US" w:eastAsia="zh-CN" w:bidi="ar-SA"/>
              </w:rPr>
            </w:pPr>
          </w:p>
        </w:tc>
        <w:tc>
          <w:tcPr>
            <w:tcW w:w="5397" w:type="dxa"/>
            <w:gridSpan w:val="13"/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末次会议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377" w:type="dxa"/>
            <w:gridSpan w:val="23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午餐时间为：12：30-13：00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DF02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2020-09-08T11:50:58Z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