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受审核方：青木家居用品(珠海)有限公司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tc>
        <w:tc>
          <w:tcPr>
            <w:tcW w:w="1728" w:type="dxa"/>
            <w:gridSpan w:val="2"/>
            <w:vAlign w:val="center"/>
          </w:tcPr>
          <w:p>
            <w:pPr>
              <w:jc w:val="center"/>
              <w:rPr>
                <w:b/>
                <w:sz w:val="21"/>
                <w:szCs w:val="21"/>
              </w:rPr>
            </w:pPr>
            <w:r>
              <w:rPr>
                <w:b/>
                <w:sz w:val="21"/>
                <w:szCs w:val="21"/>
              </w:rPr>
              <w:t>Q:14.02.02,14.02.04,17.12.05</w:t>
            </w:r>
          </w:p>
          <w:p>
            <w:pPr>
              <w:jc w:val="center"/>
              <w:rPr>
                <w:b/>
                <w:sz w:val="21"/>
                <w:szCs w:val="21"/>
              </w:rPr>
            </w:pPr>
            <w:r>
              <w:rPr>
                <w:b/>
                <w:sz w:val="21"/>
                <w:szCs w:val="21"/>
              </w:rPr>
              <w:t>E:14.02.02,14.02.04,17.12.05</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龚璇</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2019-N1QMS-1222833</w:t>
            </w:r>
          </w:p>
          <w:p>
            <w:pPr>
              <w:jc w:val="center"/>
              <w:rPr>
                <w:b/>
                <w:sz w:val="21"/>
                <w:szCs w:val="21"/>
              </w:rPr>
            </w:pPr>
            <w:r>
              <w:rPr>
                <w:b/>
                <w:sz w:val="21"/>
                <w:szCs w:val="21"/>
              </w:rPr>
              <w:t>2019-N0EMS-2222833</w:t>
            </w:r>
          </w:p>
        </w:tc>
        <w:tc>
          <w:tcPr>
            <w:tcW w:w="1728" w:type="dxa"/>
            <w:gridSpan w:val="2"/>
            <w:vAlign w:val="center"/>
          </w:tcPr>
          <w:p>
            <w:pPr>
              <w:jc w:val="center"/>
              <w:rPr>
                <w:b/>
                <w:sz w:val="21"/>
                <w:szCs w:val="21"/>
              </w:rPr>
            </w:pPr>
            <w:r>
              <w:rPr>
                <w:b/>
                <w:sz w:val="21"/>
                <w:szCs w:val="21"/>
              </w:rPr>
              <w:t>Q:14.02.04</w:t>
            </w:r>
          </w:p>
          <w:p>
            <w:pPr>
              <w:jc w:val="center"/>
              <w:rPr>
                <w:b/>
                <w:sz w:val="21"/>
                <w:szCs w:val="21"/>
              </w:rPr>
            </w:pPr>
            <w:r>
              <w:rPr>
                <w:b/>
                <w:sz w:val="21"/>
                <w:szCs w:val="21"/>
              </w:rPr>
              <w:t>E:14.02.04</w:t>
            </w:r>
          </w:p>
        </w:tc>
        <w:tc>
          <w:tcPr>
            <w:tcW w:w="1729" w:type="dxa"/>
            <w:gridSpan w:val="2"/>
            <w:vAlign w:val="center"/>
          </w:tcPr>
          <w:p>
            <w:pPr>
              <w:jc w:val="center"/>
              <w:rPr>
                <w:b/>
                <w:sz w:val="21"/>
                <w:szCs w:val="21"/>
              </w:rPr>
            </w:pPr>
            <w:r>
              <w:rPr>
                <w:b/>
                <w:sz w:val="21"/>
                <w:szCs w:val="21"/>
              </w:rPr>
              <w:t>ISC[S]0005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青木家居用品(珠海)有限公司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人数286人，较去年增加35人，增加人为生产工人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珠海市金湾区三灶镇华荣路1号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519040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珠海市金湾区三灶镇华荣路1号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519040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珠海市金湾区三灶镇华荣路1号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519040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谢雪琴</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0756-7621218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GIJSBERTUSADRIANUSANDREASLATHOUWERS</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p>
            <w:pPr>
              <w:rPr>
                <w:rFonts w:hint="default" w:ascii="宋体" w:hAnsi="宋体" w:eastAsia="宋体"/>
                <w:b/>
                <w:sz w:val="21"/>
                <w:szCs w:val="21"/>
                <w:lang w:val="en-US" w:eastAsia="zh-CN"/>
              </w:rPr>
            </w:pPr>
            <w:r>
              <w:rPr>
                <w:rFonts w:hint="eastAsia" w:ascii="宋体" w:hAnsi="宋体"/>
                <w:b/>
                <w:sz w:val="21"/>
                <w:szCs w:val="21"/>
                <w:lang w:val="en-US" w:eastAsia="zh-CN"/>
              </w:rPr>
              <w:t>吴杰恒</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p>
          <w:p>
            <w:pPr>
              <w:rPr>
                <w:rFonts w:ascii="宋体"/>
                <w:b/>
                <w:sz w:val="21"/>
              </w:rPr>
            </w:pPr>
            <w:r>
              <w:rPr>
                <w:rFonts w:ascii="宋体"/>
                <w:b/>
                <w:sz w:val="21"/>
              </w:rPr>
              <w:t>石云宏</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2020年09月02日 上午至2020年09月04日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Q：家居产品（垃圾桶、储物盒、垃圾袋、烫衣板、加热器、晒衣架、不锈钢盖、马桶刷、卷纸座、皂液器、信箱）的生产</w:t>
            </w:r>
          </w:p>
          <w:p>
            <w:pPr>
              <w:spacing w:line="360" w:lineRule="exact"/>
              <w:rPr>
                <w:rFonts w:ascii="宋体" w:hAnsi="宋体"/>
                <w:b/>
                <w:sz w:val="21"/>
                <w:szCs w:val="21"/>
              </w:rPr>
            </w:pPr>
            <w:r>
              <w:rPr>
                <w:rFonts w:hint="eastAsia" w:ascii="宋体" w:hAnsi="宋体"/>
              </w:rPr>
              <w:t>E：家居产品（垃圾桶、储物盒、垃圾袋、烫衣板、加热器、晒衣架、不锈钢盖、马桶刷、卷纸座、皂液器、信箱）的生产所涉及的相关环境管理活动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Q：14.02.02;14.02.04;17.12.05</w:t>
            </w:r>
          </w:p>
          <w:p>
            <w:pPr>
              <w:spacing w:line="260" w:lineRule="exact"/>
              <w:rPr>
                <w:rFonts w:ascii="宋体" w:hAnsi="宋体"/>
                <w:b/>
                <w:sz w:val="21"/>
                <w:szCs w:val="21"/>
              </w:rPr>
            </w:pPr>
            <w:r>
              <w:rPr>
                <w:rFonts w:ascii="宋体" w:hAnsi="宋体"/>
                <w:b/>
                <w:sz w:val="21"/>
                <w:szCs w:val="21"/>
              </w:rPr>
              <w:t>E：14.02.02;14.02.04;17.12.05</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2021-09-06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b/>
                <w:sz w:val="21"/>
                <w:szCs w:val="21"/>
              </w:rPr>
            </w:pPr>
          </w:p>
          <w:p>
            <w:pPr>
              <w:spacing w:line="260" w:lineRule="exact"/>
              <w:rPr>
                <w:rFonts w:ascii="宋体"/>
                <w:b/>
                <w:sz w:val="21"/>
              </w:rPr>
            </w:pPr>
            <w:r>
              <w:rPr>
                <w:rFonts w:hint="eastAsia" w:ascii="宋体" w:hAnsi="宋体"/>
                <w:b/>
                <w:sz w:val="21"/>
                <w:szCs w:val="21"/>
              </w:rPr>
              <w:t>2019-08-28 -- 2019-08-30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b/>
                <w:sz w:val="21"/>
                <w:szCs w:val="21"/>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b/>
                <w:color w:val="000000"/>
                <w:sz w:val="20"/>
                <w:szCs w:val="20"/>
              </w:rPr>
              <w:t>3.</w:t>
            </w:r>
            <w:r>
              <w:rPr>
                <w:rFonts w:hint="eastAsia"/>
                <w:b/>
                <w:color w:val="000000"/>
                <w:spacing w:val="-10"/>
                <w:sz w:val="20"/>
                <w:szCs w:val="20"/>
                <w:lang w:eastAsia="zh-CN"/>
              </w:rPr>
              <w:t>☑</w:t>
            </w:r>
            <w:r>
              <w:rPr>
                <w:rFonts w:hint="eastAsia" w:ascii="宋体" w:hAnsi="宋体"/>
                <w:b/>
                <w:color w:val="000000"/>
                <w:sz w:val="20"/>
                <w:szCs w:val="20"/>
              </w:rPr>
              <w:t>质量/</w:t>
            </w:r>
            <w:r>
              <w:rPr>
                <w:rFonts w:hint="eastAsia"/>
                <w:b/>
                <w:color w:val="000000"/>
                <w:spacing w:val="-10"/>
                <w:sz w:val="20"/>
                <w:szCs w:val="20"/>
                <w:lang w:eastAsia="zh-CN"/>
              </w:rPr>
              <w:t>☑</w:t>
            </w:r>
            <w:r>
              <w:rPr>
                <w:rFonts w:hint="eastAsia" w:ascii="宋体" w:hAnsi="宋体"/>
                <w:b/>
                <w:color w:val="000000"/>
                <w:sz w:val="20"/>
                <w:szCs w:val="20"/>
              </w:rPr>
              <w:t>环境/</w:t>
            </w:r>
            <w:r>
              <w:rPr>
                <w:rFonts w:hint="eastAsia"/>
                <w:b/>
                <w:color w:val="000000"/>
                <w:spacing w:val="-10"/>
                <w:sz w:val="20"/>
                <w:szCs w:val="20"/>
                <w:lang w:eastAsia="zh-CN"/>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的适宜性/持续适宜性、方针的传达及职工的理解等）</w:t>
            </w:r>
          </w:p>
          <w:p>
            <w:pPr>
              <w:jc w:val="both"/>
              <w:rPr>
                <w:rFonts w:hint="eastAsia" w:cs="宋体"/>
              </w:rPr>
            </w:pPr>
            <w:r>
              <w:t>1.</w:t>
            </w:r>
            <w:r>
              <w:rPr>
                <w:rFonts w:hint="eastAsia" w:cs="宋体"/>
              </w:rPr>
              <w:t>管理方针：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质量方针: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精益求精，满足用户新需要；</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优质高效，创造更完善产品；                 </w:t>
            </w:r>
          </w:p>
          <w:p>
            <w:pPr>
              <w:jc w:val="both"/>
              <w:rPr>
                <w:rFonts w:hint="eastAsia" w:cs="宋体"/>
              </w:rPr>
            </w:pPr>
            <w:r>
              <w:rPr>
                <w:rFonts w:hint="eastAsia" w:ascii="宋体" w:hAnsi="宋体" w:eastAsia="宋体" w:cs="宋体"/>
                <w:color w:val="000000" w:themeColor="text1"/>
                <w:sz w:val="21"/>
                <w:szCs w:val="21"/>
                <w:lang w:val="en-US" w:eastAsia="zh-CN"/>
              </w:rPr>
              <w:t>持续改进，提供更可靠服务。</w:t>
            </w:r>
          </w:p>
          <w:p>
            <w:pPr>
              <w:rPr>
                <w:rFonts w:hint="default" w:eastAsia="宋体" w:cs="宋体"/>
                <w:lang w:val="en-US" w:eastAsia="zh-CN"/>
              </w:rPr>
            </w:pPr>
            <w:r>
              <w:rPr>
                <w:rFonts w:hint="eastAsia" w:cs="宋体"/>
                <w:lang w:val="en-US" w:eastAsia="zh-CN"/>
              </w:rPr>
              <w:t>环境方针：</w:t>
            </w:r>
            <w:r>
              <w:rPr>
                <w:rFonts w:hint="eastAsia" w:ascii="Times New Roman" w:hAnsi="Times New Roman" w:eastAsia="宋体" w:cs="Times New Roman"/>
                <w:szCs w:val="21"/>
              </w:rPr>
              <w:t>保护环境 　 预防污染;  遵守法规　　持续改进.</w:t>
            </w:r>
          </w:p>
          <w:p>
            <w:pPr>
              <w:keepNext w:val="0"/>
              <w:keepLines w:val="0"/>
              <w:pageBreakBefore w:val="0"/>
              <w:kinsoku/>
              <w:wordWrap/>
              <w:overflowPunct/>
              <w:topLinePunct w:val="0"/>
              <w:bidi w:val="0"/>
              <w:snapToGrid/>
              <w:spacing w:line="340" w:lineRule="exact"/>
              <w:textAlignment w:val="auto"/>
            </w:pPr>
            <w:r>
              <w:t>2.</w:t>
            </w:r>
            <w:r>
              <w:rPr>
                <w:rFonts w:hint="eastAsia" w:cs="宋体"/>
              </w:rPr>
              <w:t>管理方针与企业的经营宗旨相适应，协调；</w:t>
            </w:r>
          </w:p>
          <w:p>
            <w:pPr>
              <w:spacing w:line="280" w:lineRule="exact"/>
              <w:rPr>
                <w:rFonts w:ascii="宋体" w:hAnsi="宋体"/>
                <w:b/>
                <w:sz w:val="21"/>
                <w:szCs w:val="2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ascii="宋体" w:hAnsi="宋体"/>
                <w:b/>
                <w:sz w:val="21"/>
                <w:szCs w:val="21"/>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b/>
                <w:color w:val="000000"/>
                <w:sz w:val="20"/>
                <w:szCs w:val="20"/>
              </w:rPr>
              <w:t>5.</w:t>
            </w:r>
            <w:r>
              <w:rPr>
                <w:b/>
                <w:color w:val="000000"/>
                <w:sz w:val="20"/>
                <w:szCs w:val="20"/>
              </w:rPr>
              <w:t>QMS</w:t>
            </w:r>
            <w:r>
              <w:rPr>
                <w:rFonts w:hint="eastAsia" w:ascii="宋体" w:hAnsi="宋体"/>
                <w:b/>
                <w:color w:val="000000"/>
                <w:sz w:val="20"/>
                <w:szCs w:val="20"/>
              </w:rPr>
              <w:t>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其中关键过程有</w:t>
            </w:r>
            <w:r>
              <w:rPr>
                <w:rFonts w:hint="eastAsia" w:ascii="宋体" w:hAnsi="宋体"/>
                <w:b/>
                <w:color w:val="000000"/>
                <w:sz w:val="20"/>
                <w:szCs w:val="20"/>
                <w:u w:val="single"/>
              </w:rPr>
              <w:t xml:space="preserve">   </w:t>
            </w:r>
            <w:r>
              <w:rPr>
                <w:rFonts w:hint="eastAsia"/>
                <w:szCs w:val="21"/>
                <w:lang w:eastAsia="zh-CN"/>
              </w:rPr>
              <w:t>喷涂前处理、电焊</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hint="eastAsia"/>
                <w:szCs w:val="21"/>
                <w:lang w:eastAsia="zh-CN"/>
              </w:rPr>
              <w:t>喷涂前处理、电焊</w:t>
            </w:r>
            <w:r>
              <w:rPr>
                <w:rFonts w:hint="eastAsia" w:ascii="宋体" w:hAnsi="宋体"/>
                <w:b/>
                <w:color w:val="000000"/>
                <w:sz w:val="20"/>
                <w:szCs w:val="20"/>
              </w:rPr>
              <w:t xml:space="preserve">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sz w:val="20"/>
                <w:szCs w:val="20"/>
              </w:rPr>
              <w:t>不适用条款是</w:t>
            </w:r>
            <w:r>
              <w:rPr>
                <w:rFonts w:hint="default" w:ascii="Times New Roman" w:hAnsi="Times New Roman" w:cs="Times New Roman"/>
                <w:b w:val="0"/>
                <w:bCs/>
                <w:color w:val="000000"/>
                <w:sz w:val="21"/>
                <w:szCs w:val="21"/>
                <w:u w:val="single"/>
              </w:rPr>
              <w:t xml:space="preserve">    </w:t>
            </w:r>
            <w:r>
              <w:rPr>
                <w:rFonts w:hint="default" w:ascii="Times New Roman" w:hAnsi="Times New Roman" w:cs="Times New Roman"/>
                <w:b w:val="0"/>
                <w:bCs/>
                <w:color w:val="000000"/>
                <w:sz w:val="21"/>
                <w:szCs w:val="21"/>
                <w:u w:val="single"/>
                <w:lang w:val="en-US" w:eastAsia="zh-CN"/>
              </w:rPr>
              <w:t>8.3</w:t>
            </w:r>
            <w:r>
              <w:rPr>
                <w:rFonts w:hint="eastAsia" w:ascii="宋体" w:hAnsi="宋体"/>
                <w:b/>
                <w:color w:val="000000"/>
                <w:sz w:val="20"/>
                <w:szCs w:val="20"/>
                <w:u w:val="single"/>
              </w:rPr>
              <w:t xml:space="preserve">   </w:t>
            </w:r>
            <w:r>
              <w:rPr>
                <w:rFonts w:hint="eastAsia" w:ascii="宋体" w:hAnsi="宋体"/>
                <w:b/>
                <w:color w:val="000000"/>
                <w:sz w:val="20"/>
                <w:szCs w:val="20"/>
              </w:rPr>
              <w:t xml:space="preserve"> ，不适用理由：</w:t>
            </w:r>
            <w:r>
              <w:rPr>
                <w:rFonts w:hint="eastAsia"/>
                <w:szCs w:val="21"/>
              </w:rPr>
              <w:t>企业根据顾客提供资料和相关标准以及产品规范进行生产，属来图加工，无产品设计和开发活动，故删减标准中“8.3设计和开发”，不影响满足顾客和适用法律法规要求的产品的能力或责任要求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pacing w:val="-12"/>
                <w:sz w:val="20"/>
                <w:szCs w:val="20"/>
              </w:rPr>
            </w:pPr>
            <w:r>
              <w:rPr>
                <w:rFonts w:hint="eastAsia"/>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p>
          <w:p>
            <w:pPr>
              <w:keepNext w:val="0"/>
              <w:keepLines w:val="0"/>
              <w:pageBreakBefore w:val="0"/>
              <w:kinsoku/>
              <w:wordWrap/>
              <w:overflowPunct/>
              <w:topLinePunct w:val="0"/>
              <w:bidi w:val="0"/>
              <w:snapToGrid/>
              <w:spacing w:line="340" w:lineRule="exact"/>
              <w:textAlignment w:val="auto"/>
              <w:rPr>
                <w:rFonts w:ascii="宋体" w:hAns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keepNext w:val="0"/>
              <w:keepLines w:val="0"/>
              <w:pageBreakBefore w:val="0"/>
              <w:kinsoku/>
              <w:wordWrap/>
              <w:overflowPunct/>
              <w:topLinePunct w:val="0"/>
              <w:bidi w:val="0"/>
              <w:snapToGrid/>
              <w:spacing w:line="340" w:lineRule="exact"/>
              <w:textAlignment w:val="auto"/>
              <w:rPr>
                <w:rFonts w:hint="eastAsia" w:ascii="Times New Roman"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根据认证范围所涉及的环境因素进行识别，并评价出重要环境因素，提供环境因素评价记录，目前环境因素识别基本完整，评价的重要环境因素有废水、</w:t>
            </w:r>
            <w:r>
              <w:rPr>
                <w:szCs w:val="21"/>
              </w:rPr>
              <w:t>废气的排放、固体废弃物排放、噪声排放、</w:t>
            </w:r>
            <w:r>
              <w:rPr>
                <w:rFonts w:hint="eastAsia"/>
                <w:szCs w:val="21"/>
                <w:lang w:eastAsia="zh-CN"/>
              </w:rPr>
              <w:t>能源资料的消耗、</w:t>
            </w:r>
            <w:r>
              <w:rPr>
                <w:szCs w:val="21"/>
              </w:rPr>
              <w:t>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Cs w:val="21"/>
              </w:rPr>
            </w:pPr>
            <w:r>
              <w:rPr>
                <w:rFonts w:hint="eastAsia"/>
                <w:b/>
                <w:color w:val="000000"/>
                <w:szCs w:val="21"/>
                <w:lang w:val="en-US" w:eastAsia="zh-CN"/>
              </w:rPr>
              <w:t>8</w:t>
            </w:r>
            <w:r>
              <w:rPr>
                <w:rFonts w:hint="eastAsia"/>
                <w:b/>
                <w:color w:val="000000"/>
                <w:szCs w:val="21"/>
              </w:rPr>
              <w:t xml:space="preserve">. </w:t>
            </w:r>
            <w:r>
              <w:rPr>
                <w:rFonts w:hint="eastAsia" w:ascii="宋体" w:hAnsi="宋体"/>
                <w:b/>
                <w:color w:val="000000"/>
                <w:spacing w:val="-4"/>
                <w:szCs w:val="21"/>
              </w:rPr>
              <w:t>法律法规及其他要求</w:t>
            </w:r>
          </w:p>
          <w:p>
            <w:pPr>
              <w:pStyle w:val="12"/>
              <w:keepNext w:val="0"/>
              <w:keepLines w:val="0"/>
              <w:pageBreakBefore w:val="0"/>
              <w:numPr>
                <w:ilvl w:val="0"/>
                <w:numId w:val="2"/>
              </w:numPr>
              <w:tabs>
                <w:tab w:val="left" w:pos="540"/>
              </w:tabs>
              <w:kinsoku/>
              <w:wordWrap/>
              <w:overflowPunct/>
              <w:topLinePunct w:val="0"/>
              <w:bidi w:val="0"/>
              <w:snapToGrid/>
              <w:spacing w:line="340" w:lineRule="exact"/>
              <w:ind w:firstLineChars="0"/>
              <w:textAlignment w:val="auto"/>
              <w:rPr>
                <w:rFonts w:ascii="宋体" w:hAnsi="宋体"/>
                <w:b/>
                <w:color w:val="000000"/>
                <w:szCs w:val="21"/>
                <w:u w:val="single"/>
              </w:rPr>
            </w:pPr>
            <w:r>
              <w:rPr>
                <w:rFonts w:hint="eastAsia" w:ascii="宋体" w:hAnsi="宋体"/>
                <w:b/>
                <w:color w:val="000000"/>
                <w:szCs w:val="21"/>
              </w:rPr>
              <w:t>获取法律法规项，</w:t>
            </w:r>
            <w:r>
              <w:rPr>
                <w:rFonts w:hint="eastAsia" w:ascii="宋体" w:hAnsi="宋体"/>
                <w:b/>
                <w:color w:val="000000"/>
                <w:szCs w:val="21"/>
                <w:lang w:eastAsia="zh-CN"/>
              </w:rPr>
              <w:t>☑</w:t>
            </w:r>
            <w:r>
              <w:rPr>
                <w:rFonts w:hint="eastAsia" w:ascii="宋体" w:hAnsi="宋体"/>
                <w:b/>
                <w:color w:val="000000"/>
                <w:szCs w:val="21"/>
              </w:rPr>
              <w:t>法律法规获取充分，□法律法规获取有遗漏，缺少</w:t>
            </w:r>
          </w:p>
          <w:p>
            <w:pPr>
              <w:pStyle w:val="12"/>
              <w:keepNext w:val="0"/>
              <w:keepLines w:val="0"/>
              <w:pageBreakBefore w:val="0"/>
              <w:numPr>
                <w:ilvl w:val="0"/>
                <w:numId w:val="2"/>
              </w:numPr>
              <w:tabs>
                <w:tab w:val="left" w:pos="540"/>
              </w:tabs>
              <w:kinsoku/>
              <w:wordWrap/>
              <w:overflowPunct/>
              <w:topLinePunct w:val="0"/>
              <w:bidi w:val="0"/>
              <w:snapToGrid/>
              <w:spacing w:line="340" w:lineRule="exact"/>
              <w:ind w:firstLineChars="0"/>
              <w:textAlignment w:val="auto"/>
              <w:rPr>
                <w:rFonts w:ascii="宋体" w:hAnsi="宋体"/>
                <w:b/>
                <w:color w:val="000000"/>
                <w:szCs w:val="21"/>
              </w:rPr>
            </w:pPr>
            <w:r>
              <w:rPr>
                <w:rFonts w:hint="eastAsia" w:ascii="宋体" w:hAnsi="宋体"/>
                <w:b/>
                <w:color w:val="000000"/>
                <w:szCs w:val="21"/>
              </w:rPr>
              <w:t>结合公司的</w:t>
            </w:r>
            <w:r>
              <w:rPr>
                <w:rFonts w:hint="eastAsia" w:ascii="宋体" w:hAnsi="宋体"/>
                <w:b/>
                <w:color w:val="000000"/>
                <w:szCs w:val="21"/>
                <w:lang w:eastAsia="zh-CN"/>
              </w:rPr>
              <w:t>☑</w:t>
            </w:r>
            <w:r>
              <w:rPr>
                <w:rFonts w:hint="eastAsia" w:ascii="宋体" w:hAnsi="宋体"/>
                <w:b/>
                <w:color w:val="000000"/>
                <w:szCs w:val="21"/>
              </w:rPr>
              <w:t>产品/服务</w:t>
            </w:r>
            <w:r>
              <w:rPr>
                <w:rFonts w:hint="eastAsia" w:ascii="宋体" w:hAnsi="宋体"/>
                <w:b/>
                <w:color w:val="000000"/>
                <w:szCs w:val="21"/>
                <w:lang w:eastAsia="zh-CN"/>
              </w:rPr>
              <w:t>☑</w:t>
            </w:r>
            <w:r>
              <w:rPr>
                <w:rFonts w:hint="eastAsia" w:ascii="宋体" w:hAnsi="宋体"/>
                <w:b/>
                <w:color w:val="000000"/>
                <w:szCs w:val="21"/>
              </w:rPr>
              <w:t>环境因素</w:t>
            </w:r>
            <w:r>
              <w:rPr>
                <w:rFonts w:hint="eastAsia" w:ascii="宋体" w:hAnsi="宋体"/>
                <w:b/>
                <w:color w:val="000000"/>
                <w:szCs w:val="21"/>
                <w:lang w:eastAsia="zh-CN"/>
              </w:rPr>
              <w:t>☑</w:t>
            </w:r>
            <w:r>
              <w:rPr>
                <w:rFonts w:hint="eastAsia" w:ascii="宋体" w:hAnsi="宋体"/>
                <w:b/>
                <w:color w:val="000000"/>
                <w:szCs w:val="21"/>
              </w:rPr>
              <w:t>危险源，</w:t>
            </w:r>
            <w:r>
              <w:rPr>
                <w:rFonts w:hint="eastAsia" w:ascii="宋体" w:hAnsi="宋体"/>
                <w:b/>
                <w:color w:val="000000"/>
                <w:szCs w:val="21"/>
                <w:lang w:eastAsia="zh-CN"/>
              </w:rPr>
              <w:t>☑</w:t>
            </w:r>
            <w:r>
              <w:rPr>
                <w:rFonts w:hint="eastAsia" w:ascii="宋体" w:hAnsi="宋体"/>
                <w:b/>
                <w:color w:val="000000"/>
                <w:szCs w:val="21"/>
              </w:rPr>
              <w:t>确定 □未确定法律法规要求的具体条款，</w:t>
            </w:r>
          </w:p>
          <w:p>
            <w:pPr>
              <w:pStyle w:val="12"/>
              <w:keepNext w:val="0"/>
              <w:keepLines w:val="0"/>
              <w:pageBreakBefore w:val="0"/>
              <w:numPr>
                <w:ilvl w:val="0"/>
                <w:numId w:val="2"/>
              </w:numPr>
              <w:tabs>
                <w:tab w:val="left" w:pos="540"/>
              </w:tabs>
              <w:kinsoku/>
              <w:wordWrap/>
              <w:overflowPunct/>
              <w:topLinePunct w:val="0"/>
              <w:bidi w:val="0"/>
              <w:snapToGrid/>
              <w:spacing w:line="340" w:lineRule="exact"/>
              <w:ind w:firstLineChars="0"/>
              <w:textAlignment w:val="auto"/>
              <w:rPr>
                <w:rFonts w:ascii="宋体" w:hAnsi="宋体"/>
                <w:b/>
                <w:color w:val="000000"/>
                <w:szCs w:val="21"/>
              </w:rPr>
            </w:pPr>
            <w:r>
              <w:rPr>
                <w:rFonts w:hint="eastAsia" w:ascii="宋体" w:hAnsi="宋体"/>
                <w:b/>
                <w:color w:val="000000"/>
                <w:szCs w:val="21"/>
              </w:rPr>
              <w:t>法律法规的宣传方式：</w:t>
            </w:r>
            <w:r>
              <w:rPr>
                <w:rFonts w:hint="eastAsia" w:ascii="宋体" w:hAnsi="宋体"/>
                <w:b/>
                <w:color w:val="000000"/>
                <w:szCs w:val="21"/>
                <w:lang w:val="en-US" w:eastAsia="zh-CN"/>
              </w:rPr>
              <w:t>培训</w:t>
            </w:r>
          </w:p>
          <w:p>
            <w:pPr>
              <w:pStyle w:val="12"/>
              <w:keepNext w:val="0"/>
              <w:keepLines w:val="0"/>
              <w:pageBreakBefore w:val="0"/>
              <w:numPr>
                <w:ilvl w:val="0"/>
                <w:numId w:val="0"/>
              </w:numPr>
              <w:tabs>
                <w:tab w:val="left" w:pos="540"/>
              </w:tabs>
              <w:kinsoku/>
              <w:wordWrap/>
              <w:overflowPunct/>
              <w:topLinePunct w:val="0"/>
              <w:bidi w:val="0"/>
              <w:snapToGrid/>
              <w:spacing w:line="340" w:lineRule="exact"/>
              <w:ind w:left="0" w:leftChars="0" w:firstLine="0" w:firstLineChars="0"/>
              <w:textAlignment w:val="auto"/>
              <w:rPr>
                <w:rFonts w:ascii="宋体" w:hAnsi="宋体"/>
                <w:b/>
                <w:sz w:val="21"/>
                <w:szCs w:val="21"/>
              </w:rPr>
            </w:pPr>
            <w:r>
              <w:rPr>
                <w:rFonts w:hint="eastAsia" w:ascii="宋体" w:hAnsi="宋体"/>
                <w:b/>
                <w:color w:val="000000"/>
                <w:szCs w:val="21"/>
                <w:lang w:eastAsia="zh-CN"/>
              </w:rPr>
              <w:t>（</w:t>
            </w:r>
            <w:r>
              <w:rPr>
                <w:rFonts w:hint="eastAsia" w:ascii="宋体" w:hAnsi="宋体"/>
                <w:b/>
                <w:color w:val="000000"/>
                <w:szCs w:val="21"/>
                <w:lang w:val="en-US" w:eastAsia="zh-CN"/>
              </w:rPr>
              <w:t>4</w:t>
            </w:r>
            <w:r>
              <w:rPr>
                <w:rFonts w:hint="eastAsia" w:ascii="宋体" w:hAnsi="宋体"/>
                <w:b/>
                <w:color w:val="000000"/>
                <w:szCs w:val="21"/>
                <w:lang w:eastAsia="zh-CN"/>
              </w:rPr>
              <w:t>）</w:t>
            </w:r>
            <w:r>
              <w:rPr>
                <w:rFonts w:hint="eastAsia" w:ascii="宋体" w:hAnsi="宋体"/>
                <w:b/>
                <w:color w:val="000000"/>
                <w:szCs w:val="21"/>
              </w:rPr>
              <w:t>法律法规要求及时更新了</w:t>
            </w: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auto"/>
                <w:sz w:val="20"/>
                <w:szCs w:val="20"/>
              </w:rPr>
            </w:pPr>
            <w:r>
              <w:rPr>
                <w:rFonts w:hint="eastAsia"/>
                <w:b/>
                <w:color w:val="auto"/>
                <w:szCs w:val="21"/>
                <w:lang w:val="en-US" w:eastAsia="zh-CN"/>
              </w:rPr>
              <w:t>9</w:t>
            </w:r>
            <w:r>
              <w:rPr>
                <w:rFonts w:hint="eastAsia"/>
                <w:b/>
                <w:color w:val="auto"/>
                <w:szCs w:val="21"/>
              </w:rPr>
              <w:t xml:space="preserve">. </w:t>
            </w:r>
            <w:r>
              <w:rPr>
                <w:rFonts w:hint="eastAsia" w:ascii="宋体" w:hAnsi="宋体"/>
                <w:b/>
                <w:color w:val="auto"/>
                <w:szCs w:val="21"/>
              </w:rPr>
              <w:t>目标、方案</w:t>
            </w:r>
            <w:r>
              <w:rPr>
                <w:rFonts w:hint="eastAsia"/>
                <w:b/>
                <w:color w:val="auto"/>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rPr>
                <w:rFonts w:hint="eastAsia" w:cs="宋体"/>
                <w:color w:val="auto"/>
                <w:szCs w:val="22"/>
                <w:lang w:eastAsia="zh-CN"/>
              </w:rPr>
            </w:pPr>
            <w:r>
              <w:rPr>
                <w:rFonts w:hint="eastAsia" w:ascii="Times New Roman" w:hAnsi="Times New Roman" w:cs="宋体"/>
                <w:color w:val="auto"/>
              </w:rPr>
              <w:t>公司</w:t>
            </w:r>
            <w:r>
              <w:rPr>
                <w:rFonts w:hint="eastAsia" w:cs="宋体"/>
                <w:color w:val="auto"/>
                <w:szCs w:val="22"/>
              </w:rPr>
              <w:t>质量目标</w:t>
            </w:r>
            <w:r>
              <w:rPr>
                <w:rFonts w:hint="eastAsia" w:cs="宋体"/>
                <w:color w:val="auto"/>
                <w:szCs w:val="22"/>
                <w:lang w:eastAsia="zh-CN"/>
              </w:rPr>
              <w:t>：</w:t>
            </w:r>
          </w:p>
          <w:p>
            <w:pPr>
              <w:rPr>
                <w:rFonts w:hint="eastAsia" w:cs="宋体"/>
                <w:color w:val="auto"/>
                <w:szCs w:val="22"/>
              </w:rPr>
            </w:pPr>
            <w:r>
              <w:rPr>
                <w:rFonts w:hint="eastAsia" w:cs="宋体"/>
                <w:color w:val="auto"/>
                <w:szCs w:val="22"/>
              </w:rPr>
              <w:t>质量目标</w:t>
            </w:r>
            <w:r>
              <w:rPr>
                <w:rFonts w:hint="eastAsia" w:cs="宋体"/>
                <w:color w:val="auto"/>
                <w:szCs w:val="22"/>
              </w:rPr>
              <w:tab/>
            </w:r>
            <w:r>
              <w:rPr>
                <w:rFonts w:hint="eastAsia" w:cs="宋体"/>
                <w:color w:val="auto"/>
                <w:szCs w:val="22"/>
              </w:rPr>
              <w:t xml:space="preserve">        </w:t>
            </w:r>
          </w:p>
          <w:p>
            <w:pPr>
              <w:rPr>
                <w:rFonts w:hint="eastAsia" w:cs="宋体"/>
                <w:color w:val="auto"/>
                <w:szCs w:val="22"/>
              </w:rPr>
            </w:pPr>
            <w:r>
              <w:rPr>
                <w:rFonts w:hint="eastAsia" w:cs="宋体"/>
                <w:color w:val="auto"/>
                <w:szCs w:val="22"/>
              </w:rPr>
              <w:t>顾客投诉批率≤ 3％</w:t>
            </w:r>
            <w:r>
              <w:rPr>
                <w:rFonts w:hint="eastAsia" w:cs="宋体"/>
                <w:color w:val="auto"/>
                <w:szCs w:val="22"/>
              </w:rPr>
              <w:tab/>
            </w:r>
            <w:r>
              <w:rPr>
                <w:rFonts w:hint="eastAsia" w:cs="宋体"/>
                <w:color w:val="auto"/>
                <w:szCs w:val="22"/>
              </w:rPr>
              <w:t>每月</w:t>
            </w:r>
            <w:r>
              <w:rPr>
                <w:rFonts w:hint="eastAsia" w:cs="宋体"/>
                <w:color w:val="auto"/>
                <w:szCs w:val="22"/>
              </w:rPr>
              <w:tab/>
            </w:r>
            <w:r>
              <w:rPr>
                <w:rFonts w:hint="eastAsia" w:cs="宋体"/>
                <w:color w:val="auto"/>
                <w:szCs w:val="22"/>
              </w:rPr>
              <w:t>当月顾客投诉批数/当月出货批数×100％</w:t>
            </w:r>
            <w:r>
              <w:rPr>
                <w:rFonts w:hint="eastAsia" w:cs="宋体"/>
                <w:color w:val="auto"/>
                <w:szCs w:val="22"/>
              </w:rPr>
              <w:tab/>
            </w:r>
          </w:p>
          <w:p>
            <w:pPr>
              <w:rPr>
                <w:rFonts w:hint="eastAsia" w:ascii="Times New Roman" w:hAnsi="Times New Roman" w:eastAsia="宋体" w:cs="Times New Roman"/>
                <w:color w:val="auto"/>
                <w:szCs w:val="21"/>
              </w:rPr>
            </w:pPr>
            <w:r>
              <w:rPr>
                <w:rFonts w:hint="eastAsia" w:cs="宋体"/>
                <w:color w:val="auto"/>
                <w:szCs w:val="22"/>
              </w:rPr>
              <w:t>成品出货准时率≥85%</w:t>
            </w:r>
            <w:r>
              <w:rPr>
                <w:rFonts w:hint="eastAsia" w:cs="宋体"/>
                <w:color w:val="auto"/>
                <w:szCs w:val="22"/>
              </w:rPr>
              <w:tab/>
            </w:r>
            <w:r>
              <w:rPr>
                <w:rFonts w:hint="eastAsia" w:cs="宋体"/>
                <w:color w:val="auto"/>
                <w:szCs w:val="22"/>
              </w:rPr>
              <w:t>每月</w:t>
            </w:r>
            <w:r>
              <w:rPr>
                <w:rFonts w:hint="eastAsia" w:cs="宋体"/>
                <w:color w:val="auto"/>
                <w:szCs w:val="22"/>
              </w:rPr>
              <w:tab/>
            </w:r>
            <w:r>
              <w:rPr>
                <w:rFonts w:hint="eastAsia" w:cs="宋体"/>
                <w:color w:val="auto"/>
                <w:szCs w:val="22"/>
              </w:rPr>
              <w:t>实际准时出货产品项数 / 计划出货产品项数×100％</w:t>
            </w:r>
            <w:r>
              <w:rPr>
                <w:rFonts w:hint="eastAsia" w:ascii="Times New Roman" w:hAnsi="Times New Roman" w:eastAsia="宋体" w:cs="Times New Roman"/>
                <w:color w:val="auto"/>
                <w:szCs w:val="21"/>
              </w:rPr>
              <w:t>环境目标:</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持续保持公司所在危险废弃物100%交有资质的回收公司处理； </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生产排放噪音达标；</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生产排放废气达到废气及粉尘排放达标；</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年度火灾事故为0起；</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污水达标排放；</w:t>
            </w:r>
          </w:p>
          <w:p>
            <w:pPr>
              <w:rPr>
                <w:rFonts w:ascii="宋体" w:hAnsi="宋体"/>
                <w:b/>
                <w:color w:val="FF0000"/>
                <w:sz w:val="21"/>
                <w:szCs w:val="21"/>
              </w:rPr>
            </w:pPr>
            <w:r>
              <w:rPr>
                <w:rFonts w:hint="eastAsia" w:ascii="Times New Roman" w:hAnsi="Times New Roman" w:cs="宋体"/>
                <w:color w:val="auto"/>
              </w:rPr>
              <w:t>提供了文件化可分解的目标</w:t>
            </w:r>
            <w:r>
              <w:rPr>
                <w:rFonts w:hint="eastAsia" w:ascii="Times New Roman" w:hAnsi="Times New Roman" w:cs="宋体"/>
                <w:color w:val="auto"/>
                <w:lang w:eastAsia="zh-CN"/>
              </w:rPr>
              <w:t>、指标</w:t>
            </w:r>
            <w:r>
              <w:rPr>
                <w:rFonts w:hint="eastAsia" w:ascii="Times New Roman" w:hAnsi="Times New Roman" w:cs="宋体"/>
                <w:color w:val="auto"/>
              </w:rPr>
              <w:t>，经查问分解到各部门，经查阅建立的</w:t>
            </w:r>
            <w:r>
              <w:rPr>
                <w:rFonts w:hint="eastAsia" w:ascii="Times New Roman" w:hAnsi="Times New Roman" w:cs="宋体"/>
                <w:color w:val="auto"/>
                <w:lang w:eastAsia="zh-CN"/>
              </w:rPr>
              <w:t>管理</w:t>
            </w:r>
            <w:r>
              <w:rPr>
                <w:rFonts w:hint="eastAsia" w:ascii="Times New Roman" w:hAnsi="Times New Roman" w:cs="宋体"/>
                <w:color w:val="auto"/>
              </w:rPr>
              <w:t>目标符合标准要求，在方针的框架下展开，每</w:t>
            </w:r>
            <w:r>
              <w:rPr>
                <w:rFonts w:hint="eastAsia" w:ascii="Times New Roman" w:hAnsi="Times New Roman" w:cs="宋体"/>
                <w:color w:val="auto"/>
                <w:lang w:val="en-US" w:eastAsia="zh-CN"/>
              </w:rPr>
              <w:t>季度</w:t>
            </w:r>
            <w:r>
              <w:rPr>
                <w:rFonts w:hint="eastAsia" w:ascii="Times New Roman" w:hAnsi="Times New Roman" w:cs="宋体"/>
                <w:color w:val="auto"/>
              </w:rPr>
              <w:t>考核一次，提供</w:t>
            </w:r>
            <w:r>
              <w:rPr>
                <w:rFonts w:hint="eastAsia" w:ascii="Times New Roman" w:hAnsi="Times New Roman" w:cs="宋体"/>
                <w:color w:val="auto"/>
                <w:lang w:val="en-US" w:eastAsia="zh-CN"/>
              </w:rPr>
              <w:t>20</w:t>
            </w:r>
            <w:r>
              <w:rPr>
                <w:rFonts w:hint="eastAsia" w:cs="宋体"/>
                <w:color w:val="auto"/>
                <w:lang w:val="en-US" w:eastAsia="zh-CN"/>
              </w:rPr>
              <w:t>20</w:t>
            </w:r>
            <w:r>
              <w:rPr>
                <w:rFonts w:hint="eastAsia" w:ascii="Times New Roman" w:hAnsi="Times New Roman" w:cs="宋体"/>
                <w:color w:val="auto"/>
                <w:lang w:val="en-US" w:eastAsia="zh-CN"/>
              </w:rPr>
              <w:t>年</w:t>
            </w:r>
            <w:r>
              <w:rPr>
                <w:rFonts w:hint="eastAsia" w:cs="宋体"/>
                <w:color w:val="auto"/>
                <w:lang w:val="en-US" w:eastAsia="zh-CN"/>
              </w:rPr>
              <w:t>1-2</w:t>
            </w:r>
            <w:r>
              <w:rPr>
                <w:rFonts w:hint="eastAsia" w:ascii="Times New Roman" w:hAnsi="Times New Roman" w:cs="宋体"/>
                <w:color w:val="auto"/>
                <w:lang w:val="en-US" w:eastAsia="zh-CN"/>
              </w:rPr>
              <w:t>季度</w:t>
            </w:r>
            <w:r>
              <w:rPr>
                <w:rFonts w:hint="eastAsia" w:cs="宋体"/>
                <w:color w:val="auto"/>
                <w:lang w:val="en-US" w:eastAsia="zh-CN"/>
              </w:rPr>
              <w:t>，</w:t>
            </w:r>
            <w:r>
              <w:rPr>
                <w:rFonts w:hint="eastAsia" w:ascii="Times New Roman" w:hAnsi="Times New Roman" w:cs="宋体"/>
                <w:color w:val="auto"/>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b/>
                <w:color w:val="000000"/>
                <w:sz w:val="20"/>
                <w:szCs w:val="20"/>
                <w:lang w:val="en-US" w:eastAsia="zh-CN"/>
              </w:rPr>
              <w:t>10</w:t>
            </w:r>
            <w:r>
              <w:rPr>
                <w:rFonts w:hint="eastAsia"/>
                <w:b/>
                <w:color w:val="000000"/>
                <w:sz w:val="20"/>
                <w:szCs w:val="20"/>
              </w:rPr>
              <w:t>. 文件与记录控制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w:t>
            </w:r>
            <w:r>
              <w:rPr>
                <w:rFonts w:hint="eastAsia" w:cs="宋体"/>
                <w:lang w:val="en-US" w:eastAsia="zh-CN"/>
              </w:rPr>
              <w:t>里</w:t>
            </w:r>
            <w:r>
              <w:rPr>
                <w:rFonts w:hint="eastAsia" w:ascii="Times New Roman" w:hAnsi="Times New Roman" w:cs="宋体"/>
              </w:rPr>
              <w:t>，每个人均可查阅。外来文件电子版本在电脑</w:t>
            </w:r>
            <w:r>
              <w:rPr>
                <w:rFonts w:hint="eastAsia" w:cs="宋体"/>
                <w:lang w:val="en-US" w:eastAsia="zh-CN"/>
              </w:rPr>
              <w:t>里</w:t>
            </w:r>
            <w:r>
              <w:rPr>
                <w:rFonts w:hint="eastAsia" w:ascii="Times New Roman" w:hAnsi="Times New Roman" w:cs="宋体"/>
              </w:rPr>
              <w:t>，每个人均可查阅，产品技术标准打印一套，放于文件柜内该公司人员均可查阅，外来人员查阅需经过总经理批准。记录管理：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ascii="宋体" w:hAnsi="宋体"/>
                <w:b/>
                <w:color w:val="000000"/>
                <w:sz w:val="20"/>
                <w:szCs w:val="20"/>
              </w:rPr>
              <w:t>人力资源的简要说明</w:t>
            </w:r>
          </w:p>
          <w:p>
            <w:pPr>
              <w:spacing w:line="0" w:lineRule="atLeast"/>
              <w:jc w:val="left"/>
              <w:rPr>
                <w:rFonts w:hint="eastAsia" w:ascii="宋体" w:hAnsi="宋体"/>
              </w:rPr>
            </w:pPr>
            <w:r>
              <w:rPr>
                <w:rFonts w:hint="eastAsia"/>
                <w:sz w:val="21"/>
                <w:szCs w:val="21"/>
              </w:rPr>
              <w:t>公司共有员工</w:t>
            </w:r>
            <w:r>
              <w:rPr>
                <w:rFonts w:hint="eastAsia"/>
                <w:sz w:val="21"/>
                <w:szCs w:val="21"/>
                <w:lang w:val="en-US" w:eastAsia="zh-CN"/>
              </w:rPr>
              <w:t>286</w:t>
            </w:r>
            <w:r>
              <w:rPr>
                <w:rFonts w:hint="eastAsia"/>
                <w:sz w:val="21"/>
                <w:szCs w:val="21"/>
              </w:rPr>
              <w:t>人，</w:t>
            </w:r>
            <w:r>
              <w:rPr>
                <w:rFonts w:hint="eastAsia"/>
                <w:sz w:val="21"/>
                <w:szCs w:val="21"/>
                <w:lang w:val="en-US" w:eastAsia="zh-CN"/>
              </w:rPr>
              <w:t>人数较去年增加35人，增加人员主要是补充车间的一线员工，有特种作业人员电工、叉车工、焊接操作工</w:t>
            </w:r>
            <w:r>
              <w:rPr>
                <w:rFonts w:hint="eastAsia"/>
                <w:sz w:val="21"/>
                <w:szCs w:val="21"/>
              </w:rPr>
              <w:t>，</w:t>
            </w:r>
            <w:r>
              <w:rPr>
                <w:rFonts w:hint="eastAsia"/>
                <w:sz w:val="21"/>
                <w:szCs w:val="21"/>
                <w:lang w:val="en-US" w:eastAsia="zh-CN"/>
              </w:rPr>
              <w:t>人员能力</w:t>
            </w:r>
            <w:r>
              <w:rPr>
                <w:rFonts w:hint="eastAsia"/>
                <w:sz w:val="21"/>
                <w:szCs w:val="21"/>
              </w:rPr>
              <w:t>满足</w:t>
            </w:r>
            <w:r>
              <w:rPr>
                <w:rFonts w:hint="eastAsia" w:ascii="宋体" w:hAnsi="宋体"/>
              </w:rPr>
              <w:t>家居产品（垃圾桶、储物盒、垃圾袋、烫衣板、加热器、晒衣架、不锈钢盖、马桶刷、卷纸座、皂液器、信箱）的生产</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设备设施（包括信息系统）</w:t>
            </w:r>
          </w:p>
          <w:p>
            <w:pPr>
              <w:rPr>
                <w:rFonts w:hint="eastAsia"/>
                <w:szCs w:val="21"/>
              </w:rPr>
            </w:pPr>
            <w:r>
              <w:rPr>
                <w:rFonts w:hint="eastAsia"/>
                <w:szCs w:val="21"/>
              </w:rPr>
              <w:t>公司提供了该部门管理设备：冲床、点焊机、气焊机、送料机、剪板机、切边机、切卷机、油压机、液压拉伸机、抛光机、超纯水设备、储物盒大身划胶纸机、斜盖切边预卷机、烘干炉、超声波塑胶焊接机、三轴卷圆机、扣合机、三位装订机、单式移印机、自动折盖封箱机、搅拌机、吹膜连印机、精密过滤机等。</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过程运行环境</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cs="宋体"/>
                <w:sz w:val="21"/>
                <w:szCs w:val="21"/>
              </w:rPr>
              <w:t>办公</w:t>
            </w:r>
            <w:r>
              <w:rPr>
                <w:rFonts w:hint="eastAsia" w:cs="宋体"/>
                <w:sz w:val="21"/>
                <w:szCs w:val="21"/>
                <w:lang w:val="en-US" w:eastAsia="zh-CN"/>
              </w:rPr>
              <w:t>生产</w:t>
            </w:r>
            <w:r>
              <w:rPr>
                <w:rFonts w:hint="eastAsia" w:cs="宋体"/>
                <w:sz w:val="21"/>
                <w:szCs w:val="21"/>
              </w:rPr>
              <w:t>地点位于</w:t>
            </w:r>
            <w:bookmarkStart w:id="25" w:name="生产地址"/>
            <w:r>
              <w:rPr>
                <w:rFonts w:ascii="宋体" w:hAnsi="宋体"/>
                <w:szCs w:val="21"/>
              </w:rPr>
              <w:t>珠海市金湾区三灶镇华荣路1号</w:t>
            </w:r>
            <w:bookmarkEnd w:id="25"/>
            <w:r>
              <w:rPr>
                <w:rFonts w:hint="eastAsia" w:cs="宋体"/>
                <w:sz w:val="21"/>
                <w:szCs w:val="21"/>
              </w:rPr>
              <w:t>，</w:t>
            </w:r>
            <w:r>
              <w:rPr>
                <w:rFonts w:hint="eastAsia" w:cs="宋体"/>
                <w:sz w:val="21"/>
                <w:szCs w:val="21"/>
                <w:lang w:val="en-US" w:eastAsia="zh-CN"/>
              </w:rPr>
              <w:t>公司面积</w:t>
            </w:r>
            <w:r>
              <w:rPr>
                <w:rFonts w:hint="eastAsia" w:cs="宋体"/>
                <w:color w:val="auto"/>
                <w:sz w:val="21"/>
                <w:szCs w:val="21"/>
                <w:lang w:val="en-US" w:eastAsia="zh-CN"/>
              </w:rPr>
              <w:t>26669.2平米</w:t>
            </w:r>
            <w:r>
              <w:rPr>
                <w:rFonts w:hint="eastAsia" w:cs="宋体"/>
                <w:color w:val="FF0000"/>
                <w:sz w:val="21"/>
                <w:szCs w:val="21"/>
                <w:lang w:val="en-US" w:eastAsia="zh-CN"/>
              </w:rPr>
              <w:t>，</w:t>
            </w:r>
            <w:r>
              <w:rPr>
                <w:rFonts w:hint="eastAsia"/>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hint="eastAsia" w:ascii="宋体" w:hAnsi="宋体"/>
                <w:b/>
                <w:color w:val="000000"/>
                <w:sz w:val="20"/>
                <w:szCs w:val="20"/>
              </w:rPr>
            </w:pPr>
            <w:r>
              <w:rPr>
                <w:rFonts w:hint="eastAsia" w:ascii="宋体" w:hAnsi="宋体"/>
                <w:b/>
                <w:color w:val="000000"/>
                <w:sz w:val="20"/>
                <w:szCs w:val="20"/>
              </w:rPr>
              <w:t>监视和测量资源</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Times New Roman" w:hAnsi="Times New Roman" w:eastAsia="宋体" w:cs="Times New Roman"/>
                <w:szCs w:val="21"/>
              </w:rPr>
              <w:t>公司计量器具主要有千分尺、卡尺、角度尺、百分表、电子秤、扭力机、拉力机、块规、硬度计、测温仪、测厚仪、厚薄规、耐摩擦测试仪、拉压力计、三坐标测试仪、冲击试验机、管型测力计、水分测定仪等监视和测量设备，</w:t>
            </w:r>
            <w:r>
              <w:rPr>
                <w:rFonts w:hint="eastAsia"/>
                <w:sz w:val="21"/>
                <w:szCs w:val="21"/>
                <w:lang w:val="en-US" w:eastAsia="zh-CN"/>
              </w:rPr>
              <w:t>满足检测需求.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知识</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rPr>
              <w:t>公司对法律法规及其他要求进行了获取，包括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w:t>
            </w:r>
            <w:r>
              <w:rPr>
                <w:rFonts w:hint="eastAsia"/>
                <w:szCs w:val="21"/>
              </w:rPr>
              <w:t>GBT24454-2009塑料垃圾袋国家标准、QBT1560-2006卫生间附属配件行业标准、QBT1622.8-1992不锈钢器皿杯行业标准、QBT1622.9-1992不锈钢器皿盘行业标准、QBT2821-2006金属晾衣架行业标准和QBT4073-2010烫衣板行业标准等。</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hint="eastAsia" w:ascii="宋体" w:hAnsi="宋体"/>
                <w:b/>
                <w:color w:val="000000"/>
                <w:sz w:val="20"/>
                <w:szCs w:val="20"/>
              </w:rPr>
            </w:pPr>
            <w:r>
              <w:rPr>
                <w:rFonts w:hint="eastAsia" w:ascii="宋体" w:hAnsi="宋体"/>
                <w:b/>
                <w:color w:val="000000"/>
                <w:sz w:val="20"/>
                <w:szCs w:val="20"/>
              </w:rPr>
              <w:t>环保设施：</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宋体" w:hAnsi="宋体"/>
                <w:b/>
                <w:color w:val="000000"/>
                <w:sz w:val="20"/>
                <w:szCs w:val="20"/>
                <w:lang w:val="en-US" w:eastAsia="zh-CN"/>
              </w:rPr>
              <w:t>沉淀池、废水处理系统、</w:t>
            </w:r>
            <w:r>
              <w:rPr>
                <w:rFonts w:hint="eastAsia" w:ascii="宋体" w:hAnsi="宋体"/>
                <w:b w:val="0"/>
                <w:bCs/>
                <w:color w:val="000000"/>
                <w:sz w:val="20"/>
                <w:szCs w:val="20"/>
                <w:lang w:val="en-US" w:eastAsia="zh-CN"/>
              </w:rPr>
              <w:t>布袋除尘器、活性炭吸附装置、基础减震装置、灭火器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宋体" w:hAnsi="宋体"/>
                <w:b/>
                <w:color w:val="000000"/>
                <w:sz w:val="20"/>
                <w:szCs w:val="20"/>
              </w:rPr>
              <w:t>职业健康安全设施：</w:t>
            </w:r>
            <w:r>
              <w:rPr>
                <w:rFonts w:hint="eastAsia" w:ascii="宋体" w:hAnsi="宋体"/>
                <w:b w:val="0"/>
                <w:bCs/>
                <w:color w:val="000000"/>
                <w:sz w:val="20"/>
                <w:szCs w:val="20"/>
                <w:lang w:val="en-US" w:eastAsia="zh-CN"/>
              </w:rPr>
              <w:t>防护栏、灭火器、警示牌、安全帽、面罩、手套、耳塞等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1. 针对方针的管理职责评审（包括针对组织宗旨，制定相关管理方针政策、确保方针为员工理解并在运营中实施，监视方针的实施并评审方针的适宜性）</w:t>
            </w:r>
          </w:p>
          <w:p>
            <w:pPr>
              <w:jc w:val="both"/>
              <w:rPr>
                <w:rFonts w:hint="eastAsia" w:cs="宋体"/>
              </w:rPr>
            </w:pPr>
            <w:r>
              <w:t>1.</w:t>
            </w:r>
            <w:r>
              <w:rPr>
                <w:rFonts w:hint="eastAsia" w:cs="宋体"/>
              </w:rPr>
              <w:t>管理方针：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质量方针:</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精益求精，满足用户新需要；</w:t>
            </w:r>
          </w:p>
          <w:p>
            <w:pPr>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优质高效，创造更完善产品；                 </w:t>
            </w:r>
          </w:p>
          <w:p>
            <w:pPr>
              <w:jc w:val="both"/>
              <w:rPr>
                <w:rFonts w:hint="eastAsia" w:cs="宋体"/>
              </w:rPr>
            </w:pPr>
            <w:r>
              <w:rPr>
                <w:rFonts w:hint="eastAsia" w:ascii="宋体" w:hAnsi="宋体" w:eastAsia="宋体" w:cs="宋体"/>
                <w:color w:val="000000" w:themeColor="text1"/>
                <w:sz w:val="21"/>
                <w:szCs w:val="21"/>
                <w:lang w:val="en-US" w:eastAsia="zh-CN"/>
              </w:rPr>
              <w:t>持续改进，提供更可靠服务。</w:t>
            </w:r>
          </w:p>
          <w:p>
            <w:pPr>
              <w:rPr>
                <w:rFonts w:hint="eastAsia" w:eastAsia="宋体"/>
                <w:lang w:val="en-US" w:eastAsia="zh-CN"/>
              </w:rPr>
            </w:pPr>
            <w:r>
              <w:rPr>
                <w:rFonts w:hint="eastAsia" w:cs="宋体"/>
                <w:lang w:val="en-US" w:eastAsia="zh-CN"/>
              </w:rPr>
              <w:t>环境方针：</w:t>
            </w:r>
            <w:r>
              <w:rPr>
                <w:rFonts w:hint="eastAsia" w:ascii="Times New Roman" w:hAnsi="Times New Roman" w:eastAsia="宋体" w:cs="Times New Roman"/>
                <w:szCs w:val="21"/>
              </w:rPr>
              <w:t>保护环境 　 预防污染;  遵守法规　　持续改进.</w:t>
            </w:r>
          </w:p>
          <w:p>
            <w:pPr>
              <w:keepNext w:val="0"/>
              <w:keepLines w:val="0"/>
              <w:pageBreakBefore w:val="0"/>
              <w:kinsoku/>
              <w:wordWrap/>
              <w:overflowPunct/>
              <w:topLinePunct w:val="0"/>
              <w:bidi w:val="0"/>
              <w:snapToGrid/>
              <w:spacing w:line="34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40" w:lineRule="exact"/>
              <w:ind w:left="1" w:leftChars="0"/>
              <w:textAlignment w:val="auto"/>
              <w:rPr>
                <w:rFonts w:ascii="宋体" w:hAnsi="宋体"/>
                <w:b/>
                <w:sz w:val="21"/>
                <w:szCs w:val="2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ind w:left="159" w:hanging="159" w:hangingChars="79"/>
              <w:textAlignment w:val="auto"/>
              <w:rPr>
                <w:b/>
                <w:color w:val="000000"/>
                <w:sz w:val="20"/>
                <w:szCs w:val="20"/>
              </w:rPr>
            </w:pPr>
            <w:r>
              <w:rPr>
                <w:rFonts w:hint="eastAsia"/>
                <w:b/>
                <w:color w:val="000000"/>
                <w:sz w:val="20"/>
                <w:szCs w:val="20"/>
              </w:rPr>
              <w:t>2. 组织内部沟通的充分性与效果；（OHSMS员工参与风险管理/健康安全事务的关心和影响力；组织对外联络关注顾客的感受情况、</w:t>
            </w:r>
            <w:r>
              <w:rPr>
                <w:b/>
                <w:color w:val="000000"/>
                <w:sz w:val="20"/>
                <w:szCs w:val="20"/>
              </w:rPr>
              <w:t>信息交流</w:t>
            </w:r>
            <w:r>
              <w:rPr>
                <w:rFonts w:hint="eastAsia"/>
                <w:b/>
                <w:color w:val="000000"/>
                <w:sz w:val="20"/>
                <w:szCs w:val="20"/>
              </w:rPr>
              <w:t>包括通报相关方的情况等）</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40" w:lineRule="exact"/>
              <w:textAlignment w:val="auto"/>
              <w:rPr>
                <w:rFonts w:hint="default" w:ascii="宋体" w:hAnsi="宋体" w:cs="Times New Roman"/>
                <w:szCs w:val="21"/>
                <w:lang w:val="en-US" w:eastAsia="zh-CN"/>
              </w:rPr>
            </w:pPr>
            <w:r>
              <w:rPr>
                <w:rFonts w:hint="eastAsia" w:ascii="楷体_GB2312" w:eastAsia="楷体_GB2312"/>
                <w:b/>
                <w:color w:val="000000"/>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外部信息的接收、成文并答复的情况（E、S填写）：</w:t>
            </w:r>
            <w:r>
              <w:rPr>
                <w:rFonts w:hint="eastAsia" w:ascii="楷体_GB2312" w:eastAsia="楷体_GB2312"/>
                <w:b/>
                <w:color w:val="000000"/>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楷体_GB2312" w:eastAsia="楷体_GB2312"/>
                <w:b/>
                <w:color w:val="000000"/>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14"/>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w:t>
            </w:r>
            <w:r>
              <w:rPr>
                <w:rFonts w:hint="eastAsia" w:ascii="宋体" w:hAnsi="宋体"/>
                <w:color w:val="auto"/>
                <w:kern w:val="2"/>
                <w:sz w:val="21"/>
                <w:szCs w:val="21"/>
                <w:lang w:val="en-US" w:eastAsia="zh-CN" w:bidi="ar-SA"/>
              </w:rPr>
              <w:t>目前控制符合要求</w:t>
            </w:r>
            <w:r>
              <w:rPr>
                <w:rFonts w:hint="eastAsia" w:ascii="宋体" w:hAnsi="宋体"/>
                <w:color w:val="auto"/>
                <w:kern w:val="2"/>
                <w:sz w:val="21"/>
                <w:szCs w:val="21"/>
                <w:lang w:eastAsia="zh-CN" w:bidi="ar-SA"/>
              </w:rPr>
              <w:t>。</w:t>
            </w:r>
          </w:p>
          <w:p>
            <w:pPr>
              <w:pStyle w:val="14"/>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w:t>
            </w:r>
            <w:r>
              <w:rPr>
                <w:rFonts w:hint="eastAsia" w:ascii="宋体" w:hAnsi="宋体"/>
                <w:color w:val="auto"/>
                <w:kern w:val="2"/>
                <w:sz w:val="21"/>
                <w:szCs w:val="21"/>
                <w:lang w:val="en-US" w:eastAsia="zh-CN" w:bidi="ar-SA"/>
              </w:rPr>
              <w:t>机</w:t>
            </w:r>
            <w:r>
              <w:rPr>
                <w:rFonts w:hint="eastAsia" w:ascii="宋体" w:hAnsi="宋体" w:cs="Times New Roman"/>
                <w:color w:val="auto"/>
                <w:kern w:val="2"/>
                <w:sz w:val="21"/>
                <w:szCs w:val="21"/>
                <w:lang w:val="en-US" w:eastAsia="zh-CN" w:bidi="ar-SA"/>
              </w:rPr>
              <w:t>加工、焊接、冲压、</w:t>
            </w:r>
            <w:r>
              <w:rPr>
                <w:rFonts w:hint="eastAsia"/>
                <w:szCs w:val="21"/>
                <w:lang w:eastAsia="zh-CN"/>
              </w:rPr>
              <w:t>喷涂</w:t>
            </w:r>
            <w:r>
              <w:rPr>
                <w:rFonts w:hint="eastAsia" w:ascii="宋体" w:hAnsi="宋体" w:cs="Times New Roman"/>
                <w:color w:val="auto"/>
                <w:kern w:val="2"/>
                <w:sz w:val="21"/>
                <w:szCs w:val="21"/>
                <w:lang w:val="en-GB" w:eastAsia="zh-CN" w:bidi="ar-SA"/>
              </w:rPr>
              <w:t>；制定了生产设备管理制度、设备操作规程、作业指导书、成品检验规范等管理技术文件；配备了</w:t>
            </w:r>
            <w:r>
              <w:rPr>
                <w:rFonts w:hint="eastAsia"/>
                <w:szCs w:val="21"/>
              </w:rPr>
              <w:t>冲床、点焊机、气焊机、送料机、剪板机、切边机、切卷机、油压机、液压拉伸机、抛光机、超纯水设备、储物盒大身划胶纸机、斜盖切边预卷机、烘干炉、超声波塑胶焊接机、三轴卷圆机、扣合机、三位装订机、单式移印机、自动折盖封箱机、搅拌机、吹膜连印机、精密过滤机</w:t>
            </w:r>
            <w:r>
              <w:rPr>
                <w:rFonts w:hint="eastAsia" w:ascii="宋体" w:hAnsi="宋体" w:cs="Times New Roman"/>
                <w:color w:val="auto"/>
                <w:kern w:val="2"/>
                <w:sz w:val="21"/>
                <w:szCs w:val="21"/>
                <w:lang w:val="en-GB" w:eastAsia="zh-CN" w:bidi="ar-SA"/>
              </w:rPr>
              <w:t>等生</w:t>
            </w:r>
            <w:r>
              <w:rPr>
                <w:rFonts w:hint="eastAsia" w:ascii="宋体" w:hAnsi="宋体"/>
                <w:color w:val="auto"/>
                <w:kern w:val="2"/>
                <w:sz w:val="21"/>
                <w:szCs w:val="21"/>
                <w:lang w:bidi="ar-SA"/>
              </w:rPr>
              <w:t>产设备</w:t>
            </w:r>
            <w:r>
              <w:rPr>
                <w:rFonts w:hint="eastAsia" w:ascii="宋体" w:hAnsi="宋体"/>
                <w:color w:val="auto"/>
                <w:kern w:val="2"/>
                <w:sz w:val="21"/>
                <w:szCs w:val="21"/>
                <w:lang w:eastAsia="zh-CN" w:bidi="ar-SA"/>
              </w:rPr>
              <w:t>及</w:t>
            </w:r>
            <w:r>
              <w:rPr>
                <w:rFonts w:hint="eastAsia" w:ascii="Times New Roman" w:hAnsi="Times New Roman" w:eastAsia="宋体" w:cs="Times New Roman"/>
                <w:szCs w:val="21"/>
              </w:rPr>
              <w:t>千分尺、卡尺、角度尺、百分表、电子秤、扭力机、拉力机、块规、硬度计、测温仪、测厚仪、厚薄规、耐摩擦测试仪、拉压力计、三坐标测试仪、冲击试验机、管型测力计、水分测定仪等监视和测量设备</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机加工</w:t>
            </w:r>
            <w:r>
              <w:rPr>
                <w:rFonts w:hint="eastAsia" w:ascii="宋体" w:hAnsi="宋体"/>
                <w:color w:val="auto"/>
                <w:kern w:val="2"/>
                <w:sz w:val="21"/>
                <w:szCs w:val="21"/>
                <w:lang w:eastAsia="zh-CN" w:bidi="ar-SA"/>
              </w:rPr>
              <w:t>工序主要控制</w:t>
            </w:r>
            <w:r>
              <w:rPr>
                <w:rFonts w:hint="eastAsia" w:ascii="宋体" w:hAnsi="宋体"/>
                <w:color w:val="auto"/>
                <w:kern w:val="2"/>
                <w:sz w:val="21"/>
                <w:szCs w:val="21"/>
                <w:lang w:val="en-US" w:eastAsia="zh-CN" w:bidi="ar-SA"/>
              </w:rPr>
              <w:t>外观/尺寸，焊接主要控制电流/电压，喷涂控制时间/温度</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提供有监控记录，</w:t>
            </w:r>
            <w:r>
              <w:rPr>
                <w:rFonts w:hint="eastAsia" w:ascii="宋体" w:hAnsi="宋体"/>
                <w:color w:val="auto"/>
                <w:kern w:val="2"/>
                <w:sz w:val="21"/>
                <w:szCs w:val="21"/>
                <w:lang w:val="en-GB" w:eastAsia="zh-CN" w:bidi="ar-SA"/>
              </w:rPr>
              <w:t>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keepNext w:val="0"/>
              <w:keepLines w:val="0"/>
              <w:widowControl/>
              <w:suppressLineNumbers w:val="0"/>
              <w:ind w:firstLine="420" w:firstLineChars="200"/>
              <w:jc w:val="left"/>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w:t>
            </w:r>
            <w:r>
              <w:rPr>
                <w:rFonts w:hint="eastAsia" w:ascii="宋体" w:hAnsi="宋体"/>
                <w:bCs/>
                <w:szCs w:val="21"/>
              </w:rPr>
              <w:t>钢板、</w:t>
            </w:r>
            <w:r>
              <w:rPr>
                <w:rFonts w:hint="eastAsia" w:ascii="宋体" w:hAnsi="宋体"/>
                <w:bCs/>
                <w:szCs w:val="21"/>
                <w:lang w:val="en-US" w:eastAsia="zh-CN"/>
              </w:rPr>
              <w:t>注塑件等</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，验证项目为尺寸/工艺参数；</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/尺寸/孔距/抗压强度/性能</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产品检验报告</w:t>
            </w:r>
            <w:r>
              <w:rPr>
                <w:rFonts w:hint="eastAsia" w:ascii="宋体" w:hAnsi="宋体"/>
                <w:color w:val="auto"/>
                <w:kern w:val="2"/>
                <w:sz w:val="21"/>
                <w:szCs w:val="21"/>
                <w:lang w:bidi="ar-SA"/>
              </w:rPr>
              <w:t>。</w:t>
            </w:r>
            <w:r>
              <w:rPr>
                <w:rFonts w:hint="eastAsia" w:ascii="宋体" w:hAnsi="宋体"/>
                <w:color w:val="auto"/>
                <w:kern w:val="2"/>
                <w:sz w:val="21"/>
                <w:szCs w:val="21"/>
                <w:lang w:val="en-US" w:eastAsia="zh-CN" w:bidi="ar-SA"/>
              </w:rPr>
              <w:t>控制符合要求。</w:t>
            </w:r>
          </w:p>
          <w:p>
            <w:pPr>
              <w:pStyle w:val="14"/>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bidi="ar-SA"/>
              </w:rPr>
              <w:t>检测仪器</w:t>
            </w:r>
            <w:r>
              <w:rPr>
                <w:rFonts w:hint="eastAsia" w:ascii="宋体" w:hAnsi="宋体"/>
                <w:color w:val="auto"/>
                <w:kern w:val="2"/>
                <w:sz w:val="21"/>
                <w:szCs w:val="21"/>
                <w:lang w:val="en-US" w:eastAsia="zh-CN" w:bidi="ar-SA"/>
              </w:rPr>
              <w:t>校准</w:t>
            </w:r>
            <w:r>
              <w:rPr>
                <w:rFonts w:hint="eastAsia" w:ascii="宋体" w:hAnsi="宋体"/>
                <w:color w:val="auto"/>
                <w:kern w:val="2"/>
                <w:sz w:val="21"/>
                <w:szCs w:val="21"/>
                <w:lang w:bidi="ar-SA"/>
              </w:rPr>
              <w:t>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spacing w:line="240" w:lineRule="exact"/>
              <w:rPr>
                <w:rFonts w:ascii="宋体" w:hAnsi="宋体"/>
                <w:b/>
                <w:sz w:val="21"/>
                <w:szCs w:val="21"/>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ascii="宋体" w:hAnsi="宋体"/>
              </w:rPr>
              <w:t>家居产品（垃圾桶、储物盒、垃圾袋、烫衣板、加热器、晒衣架、不锈钢盖、马桶刷、卷纸座、皂液器、信箱）</w:t>
            </w:r>
            <w:r>
              <w:rPr>
                <w:rFonts w:hint="eastAsia" w:ascii="宋体" w:hAnsi="宋体"/>
                <w:color w:val="auto"/>
                <w:kern w:val="2"/>
                <w:sz w:val="21"/>
                <w:szCs w:val="21"/>
                <w:lang w:eastAsia="zh-CN" w:bidi="ar-SA"/>
              </w:rPr>
              <w:t>等，且按照</w:t>
            </w:r>
            <w:r>
              <w:rPr>
                <w:rFonts w:hint="eastAsia" w:ascii="宋体" w:hAnsi="宋体"/>
                <w:color w:val="auto"/>
                <w:kern w:val="2"/>
                <w:sz w:val="21"/>
                <w:szCs w:val="21"/>
                <w:lang w:bidi="ar-SA"/>
              </w:rPr>
              <w:t>国家标准</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行业标准、</w:t>
            </w:r>
            <w:r>
              <w:rPr>
                <w:rFonts w:hint="eastAsia" w:ascii="宋体" w:hAnsi="宋体"/>
                <w:color w:val="auto"/>
                <w:kern w:val="2"/>
                <w:sz w:val="21"/>
                <w:szCs w:val="21"/>
                <w:lang w:eastAsia="zh-CN" w:bidi="ar-SA"/>
              </w:rPr>
              <w:t>顾客</w:t>
            </w:r>
            <w:r>
              <w:rPr>
                <w:rFonts w:hint="eastAsia" w:ascii="宋体" w:hAnsi="宋体"/>
                <w:color w:val="auto"/>
                <w:kern w:val="2"/>
                <w:sz w:val="21"/>
                <w:szCs w:val="21"/>
                <w:lang w:val="en-US" w:eastAsia="zh-CN" w:bidi="ar-SA"/>
              </w:rPr>
              <w:t>要求</w:t>
            </w:r>
            <w:r>
              <w:rPr>
                <w:rFonts w:hint="eastAsia" w:ascii="宋体" w:hAnsi="宋体"/>
                <w:color w:val="auto"/>
                <w:kern w:val="2"/>
                <w:sz w:val="21"/>
                <w:szCs w:val="21"/>
                <w:lang w:eastAsia="zh-CN" w:bidi="ar-SA"/>
              </w:rPr>
              <w:t>进行</w:t>
            </w:r>
            <w:r>
              <w:rPr>
                <w:rFonts w:hint="eastAsia" w:ascii="宋体" w:hAnsi="宋体"/>
                <w:color w:val="auto"/>
                <w:kern w:val="2"/>
                <w:sz w:val="21"/>
                <w:szCs w:val="21"/>
                <w:lang w:bidi="ar-SA"/>
              </w:rPr>
              <w:t>生产</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jc w:val="left"/>
              <w:textAlignment w:val="auto"/>
              <w:rPr>
                <w:b/>
                <w:color w:val="000000"/>
                <w:sz w:val="20"/>
                <w:szCs w:val="20"/>
              </w:rPr>
            </w:pPr>
            <w:r>
              <w:rPr>
                <w:rFonts w:hint="eastAsia"/>
                <w:b/>
                <w:color w:val="000000"/>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宋体" w:hAnsi="宋体"/>
                <w:szCs w:val="21"/>
                <w:lang w:val="en-US" w:eastAsia="zh-CN"/>
              </w:rPr>
              <w:t>主要满足</w:t>
            </w:r>
            <w:r>
              <w:rPr>
                <w:rFonts w:hint="eastAsia"/>
                <w:szCs w:val="21"/>
              </w:rPr>
              <w:t>GBT24454-2009塑料垃圾袋国家标准、QBT1560-2006卫生间附属配件行业标准、QBT1622.8-1992不锈钢器皿杯行业标准、QBT1622.9-1992不锈钢器皿盘行业标准、QBT2821-2006金属晾衣架行业标准和QBT4073-2010烫衣板行业标准</w:t>
            </w:r>
            <w:r>
              <w:rPr>
                <w:rFonts w:hint="eastAsia" w:ascii="宋体" w:hAnsi="宋体"/>
                <w:szCs w:val="21"/>
                <w:lang w:val="en-US" w:eastAsia="zh-CN"/>
              </w:rPr>
              <w:t>及客户要求，目前向顾客提供的产品均合格，提供有产品检验记录、产品检验报告。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pacing w:val="-8"/>
                <w:sz w:val="20"/>
                <w:szCs w:val="20"/>
              </w:rPr>
            </w:pPr>
            <w:r>
              <w:rPr>
                <w:rFonts w:hint="eastAsia"/>
                <w:b/>
                <w:color w:val="000000"/>
                <w:sz w:val="20"/>
                <w:szCs w:val="20"/>
              </w:rPr>
              <w:t xml:space="preserve">6. </w:t>
            </w:r>
            <w:r>
              <w:rPr>
                <w:rFonts w:hint="eastAsia"/>
                <w:b/>
                <w:color w:val="000000"/>
                <w:spacing w:val="-8"/>
                <w:sz w:val="20"/>
                <w:szCs w:val="20"/>
              </w:rPr>
              <w:t>不合格品/项的识别、控制</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，至今</w:t>
            </w:r>
            <w:r>
              <w:rPr>
                <w:rFonts w:hint="eastAsia" w:ascii="宋体" w:hAnsi="宋体"/>
                <w:szCs w:val="21"/>
                <w:lang w:eastAsia="zh-CN"/>
              </w:rPr>
              <w:t>出厂的产</w:t>
            </w:r>
            <w:r>
              <w:rPr>
                <w:rFonts w:hint="eastAsia" w:ascii="宋体" w:hAnsi="宋体"/>
                <w:szCs w:val="21"/>
              </w:rPr>
              <w:t>品未有不合格品发现；客户反馈无质量问题</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7. EMS组织对重要环境因素实施控制的结果</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b w:val="0"/>
                <w:bCs w:val="0"/>
                <w:sz w:val="21"/>
                <w:szCs w:val="21"/>
                <w:lang w:val="en-US" w:eastAsia="zh-CN"/>
              </w:rPr>
              <w:t>编</w:t>
            </w:r>
            <w:r>
              <w:rPr>
                <w:rFonts w:hint="eastAsia"/>
                <w:b w:val="0"/>
                <w:bCs w:val="0"/>
                <w:sz w:val="21"/>
                <w:szCs w:val="21"/>
                <w:lang w:val="en-GB"/>
              </w:rPr>
              <w:t>制</w:t>
            </w:r>
            <w:r>
              <w:rPr>
                <w:szCs w:val="21"/>
              </w:rPr>
              <w:t>环境因素识别与评价控制程序</w:t>
            </w:r>
            <w:r>
              <w:rPr>
                <w:rFonts w:hint="eastAsia"/>
                <w:szCs w:val="21"/>
                <w:lang w:eastAsia="zh-CN"/>
              </w:rPr>
              <w:t>、</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w:t>
            </w:r>
            <w:r>
              <w:rPr>
                <w:rFonts w:hint="eastAsia"/>
                <w:b w:val="0"/>
                <w:bCs w:val="0"/>
                <w:sz w:val="21"/>
                <w:szCs w:val="21"/>
                <w:lang w:val="en-US" w:eastAsia="zh-CN"/>
              </w:rPr>
              <w:t>危废处置、</w:t>
            </w:r>
            <w:r>
              <w:rPr>
                <w:rFonts w:hint="eastAsia"/>
                <w:b w:val="0"/>
                <w:bCs w:val="0"/>
                <w:sz w:val="21"/>
                <w:szCs w:val="21"/>
              </w:rPr>
              <w:t>资源控制、火灾、</w:t>
            </w:r>
            <w:r>
              <w:rPr>
                <w:rFonts w:hint="eastAsia"/>
                <w:b w:val="0"/>
                <w:bCs w:val="0"/>
                <w:sz w:val="21"/>
                <w:szCs w:val="21"/>
                <w:lang w:val="en-US" w:eastAsia="zh-CN"/>
              </w:rPr>
              <w:t>废水排放、废气排放、噪声排放、</w:t>
            </w:r>
            <w:r>
              <w:rPr>
                <w:rFonts w:hint="eastAsia"/>
                <w:b w:val="0"/>
                <w:bCs w:val="0"/>
                <w:sz w:val="21"/>
                <w:szCs w:val="21"/>
              </w:rPr>
              <w:t>相关方施加影响等</w:t>
            </w:r>
            <w:r>
              <w:rPr>
                <w:rFonts w:hint="eastAsia"/>
                <w:b w:val="0"/>
                <w:bCs w:val="0"/>
                <w:sz w:val="21"/>
                <w:szCs w:val="21"/>
                <w:lang w:eastAsia="zh-CN"/>
              </w:rPr>
              <w:t>，</w:t>
            </w:r>
            <w:r>
              <w:rPr>
                <w:rFonts w:hint="eastAsia"/>
                <w:b w:val="0"/>
                <w:bCs w:val="0"/>
                <w:sz w:val="21"/>
                <w:szCs w:val="21"/>
                <w:lang w:val="en-US" w:eastAsia="zh-CN"/>
              </w:rPr>
              <w:t>目前基本符合要求</w:t>
            </w:r>
            <w:r>
              <w:rPr>
                <w:rFonts w:hint="eastAsia"/>
                <w:b w:val="0"/>
                <w:bCs w:val="0"/>
                <w:sz w:val="21"/>
                <w:szCs w:val="21"/>
              </w:rPr>
              <w:t>。办公区域、</w:t>
            </w:r>
            <w:r>
              <w:rPr>
                <w:rFonts w:hint="eastAsia"/>
                <w:b w:val="0"/>
                <w:bCs w:val="0"/>
                <w:sz w:val="21"/>
                <w:szCs w:val="21"/>
                <w:lang w:val="en-US" w:eastAsia="zh-CN"/>
              </w:rPr>
              <w:t>生产现场</w:t>
            </w:r>
            <w:r>
              <w:rPr>
                <w:rFonts w:hint="eastAsia"/>
                <w:b w:val="0"/>
                <w:bCs w:val="0"/>
                <w:sz w:val="21"/>
                <w:szCs w:val="21"/>
              </w:rPr>
              <w:t>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numPr>
                <w:ilvl w:val="0"/>
                <w:numId w:val="3"/>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40" w:lineRule="exact"/>
              <w:ind w:left="0" w:leftChars="0" w:firstLine="0" w:firstLineChars="0"/>
              <w:textAlignment w:val="auto"/>
              <w:rPr>
                <w:rFonts w:hint="default"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ind w:left="201" w:hanging="201" w:hangingChars="100"/>
              <w:textAlignment w:val="auto"/>
              <w:rPr>
                <w:b/>
                <w:color w:val="000000"/>
                <w:sz w:val="20"/>
                <w:szCs w:val="20"/>
              </w:rPr>
            </w:pPr>
            <w:r>
              <w:rPr>
                <w:rFonts w:hint="eastAsia"/>
                <w:b/>
                <w:color w:val="000000"/>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意外伤害</w:t>
            </w:r>
            <w:r>
              <w:rPr>
                <w:rFonts w:hint="eastAsia" w:ascii="宋体" w:hAnsi="宋体"/>
                <w:bCs/>
                <w:color w:val="auto"/>
                <w:sz w:val="21"/>
                <w:szCs w:val="21"/>
                <w:u w:val="none" w:color="auto"/>
                <w:lang w:eastAsia="zh-CN"/>
              </w:rPr>
              <w:t>等。编制了应急预案—包括火灾、触电、</w:t>
            </w:r>
            <w:r>
              <w:rPr>
                <w:rFonts w:hint="eastAsia" w:ascii="宋体" w:hAnsi="宋体"/>
                <w:bCs/>
                <w:color w:val="auto"/>
                <w:sz w:val="21"/>
                <w:szCs w:val="21"/>
                <w:u w:val="none" w:color="auto"/>
                <w:lang w:val="en-US" w:eastAsia="zh-CN"/>
              </w:rPr>
              <w:t>意外伤害</w:t>
            </w:r>
            <w:r>
              <w:rPr>
                <w:rFonts w:hint="eastAsia" w:ascii="宋体" w:hAnsi="宋体"/>
                <w:bCs/>
                <w:color w:val="auto"/>
                <w:sz w:val="21"/>
                <w:szCs w:val="21"/>
                <w:u w:val="none" w:color="auto"/>
                <w:lang w:eastAsia="zh-CN"/>
              </w:rPr>
              <w:t>应急预案，组织了应急演练，提供了应急预案演练记录。经查符合标准要求。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 xml:space="preserve">10. 对特种设备的维护，检定; </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lang w:val="en-US" w:eastAsia="zh-CN"/>
              </w:rPr>
            </w:pPr>
            <w:r>
              <w:rPr>
                <w:rFonts w:hint="eastAsia"/>
                <w:b/>
                <w:color w:val="000000"/>
                <w:sz w:val="20"/>
                <w:szCs w:val="20"/>
                <w:lang w:val="en-US" w:eastAsia="zh-CN"/>
              </w:rPr>
              <w:t>叉车  粤C-06008 检验日期：2020.4.15-2020.4.15</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lang w:val="en-US" w:eastAsia="zh-CN"/>
              </w:rPr>
            </w:pPr>
            <w:r>
              <w:rPr>
                <w:rFonts w:hint="eastAsia"/>
                <w:b/>
                <w:color w:val="000000"/>
                <w:sz w:val="20"/>
                <w:szCs w:val="20"/>
                <w:lang w:val="en-US" w:eastAsia="zh-CN"/>
              </w:rPr>
              <w:t>叉车  粤C-000877 检验日期：2020.4.15-2020.4.15</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lang w:val="en-US" w:eastAsia="zh-CN"/>
              </w:rPr>
            </w:pPr>
            <w:r>
              <w:rPr>
                <w:rFonts w:hint="eastAsia"/>
                <w:b/>
                <w:color w:val="000000"/>
                <w:sz w:val="20"/>
                <w:szCs w:val="20"/>
                <w:lang w:val="en-US" w:eastAsia="zh-CN"/>
              </w:rPr>
              <w:t>叉车  粤C-01455 检验日期：2020.4.15-2020.4.15</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lang w:val="en-US" w:eastAsia="zh-CN"/>
              </w:rPr>
            </w:pPr>
            <w:r>
              <w:rPr>
                <w:rFonts w:hint="eastAsia"/>
                <w:b/>
                <w:color w:val="000000"/>
                <w:sz w:val="20"/>
                <w:szCs w:val="20"/>
                <w:lang w:val="en-US" w:eastAsia="zh-CN"/>
              </w:rPr>
              <w:t>货梯  型号 SG-VFA 检验日期：2020.4.7-2020.4.7</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lang w:val="en-US" w:eastAsia="zh-CN"/>
              </w:rPr>
            </w:pPr>
            <w:r>
              <w:rPr>
                <w:rFonts w:hint="eastAsia"/>
                <w:b/>
                <w:color w:val="000000"/>
                <w:sz w:val="20"/>
                <w:szCs w:val="20"/>
                <w:lang w:val="en-US" w:eastAsia="zh-CN"/>
              </w:rPr>
              <w:t>压力表 （0-2.5）MPa 检验日期：20206.28</w:t>
            </w:r>
          </w:p>
          <w:p>
            <w:pPr>
              <w:keepNext w:val="0"/>
              <w:keepLines w:val="0"/>
              <w:pageBreakBefore w:val="0"/>
              <w:kinsoku/>
              <w:wordWrap/>
              <w:overflowPunct/>
              <w:topLinePunct w:val="0"/>
              <w:bidi w:val="0"/>
              <w:snapToGrid/>
              <w:spacing w:line="340" w:lineRule="exact"/>
              <w:textAlignment w:val="auto"/>
              <w:rPr>
                <w:rFonts w:hint="default" w:ascii="宋体" w:hAnsi="宋体"/>
                <w:b/>
                <w:sz w:val="21"/>
                <w:szCs w:val="21"/>
                <w:lang w:val="en-US"/>
              </w:rPr>
            </w:pPr>
            <w:r>
              <w:rPr>
                <w:rFonts w:hint="eastAsia"/>
                <w:b/>
                <w:color w:val="000000"/>
                <w:sz w:val="20"/>
                <w:szCs w:val="20"/>
                <w:lang w:val="en-US" w:eastAsia="zh-CN"/>
              </w:rPr>
              <w:t xml:space="preserve"> 有检验报告，检验结论：合格。见附件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11 .对危险化学品销售、使用、储存、运输处置，规定的执行力度(必要时);</w:t>
            </w:r>
          </w:p>
          <w:p>
            <w:pPr>
              <w:keepNext w:val="0"/>
              <w:keepLines w:val="0"/>
              <w:pageBreakBefore w:val="0"/>
              <w:kinsoku/>
              <w:wordWrap/>
              <w:overflowPunct/>
              <w:topLinePunct w:val="0"/>
              <w:bidi w:val="0"/>
              <w:snapToGrid/>
              <w:spacing w:line="340" w:lineRule="exact"/>
              <w:textAlignment w:val="auto"/>
              <w:rPr>
                <w:rFonts w:hint="eastAsia" w:ascii="宋体" w:hAnsi="宋体"/>
                <w:b/>
                <w:sz w:val="21"/>
                <w:szCs w:val="21"/>
                <w:lang w:val="en-US" w:eastAsia="zh-CN"/>
              </w:rPr>
            </w:pPr>
            <w:r>
              <w:rPr>
                <w:rFonts w:hint="eastAsia" w:ascii="宋体" w:hAnsi="宋体"/>
                <w:b/>
                <w:sz w:val="21"/>
                <w:szCs w:val="21"/>
                <w:lang w:val="en-US" w:eastAsia="zh-CN"/>
              </w:rPr>
              <w:t>公司使用废盐酸、机油、润滑液等，公司有专门的危废存放间，同时有危废处置协议，</w:t>
            </w:r>
          </w:p>
          <w:p>
            <w:pPr>
              <w:keepNext w:val="0"/>
              <w:keepLines w:val="0"/>
              <w:pageBreakBefore w:val="0"/>
              <w:kinsoku/>
              <w:wordWrap/>
              <w:overflowPunct/>
              <w:topLinePunct w:val="0"/>
              <w:bidi w:val="0"/>
              <w:snapToGrid/>
              <w:spacing w:line="340" w:lineRule="exact"/>
              <w:textAlignment w:val="auto"/>
              <w:rPr>
                <w:rFonts w:hint="eastAsia" w:ascii="宋体" w:hAnsi="宋体"/>
                <w:b/>
                <w:sz w:val="21"/>
                <w:szCs w:val="21"/>
                <w:lang w:val="en-US" w:eastAsia="zh-CN"/>
              </w:rPr>
            </w:pPr>
            <w:r>
              <w:rPr>
                <w:rFonts w:hint="eastAsia" w:ascii="宋体" w:hAnsi="宋体"/>
                <w:b/>
                <w:sz w:val="21"/>
                <w:szCs w:val="21"/>
                <w:lang w:val="en-US" w:eastAsia="zh-CN"/>
              </w:rPr>
              <w:t>韶关鹏瑞环保科技有限公司，见附件，</w:t>
            </w:r>
          </w:p>
          <w:p>
            <w:pPr>
              <w:keepNext w:val="0"/>
              <w:keepLines w:val="0"/>
              <w:pageBreakBefore w:val="0"/>
              <w:kinsoku/>
              <w:wordWrap/>
              <w:overflowPunct/>
              <w:topLinePunct w:val="0"/>
              <w:bidi w:val="0"/>
              <w:snapToGrid/>
              <w:spacing w:line="340" w:lineRule="exact"/>
              <w:textAlignment w:val="auto"/>
              <w:rPr>
                <w:rFonts w:hint="default" w:ascii="宋体" w:hAnsi="宋体" w:eastAsia="宋体"/>
                <w:b/>
                <w:sz w:val="21"/>
                <w:szCs w:val="21"/>
                <w:lang w:val="en-US" w:eastAsia="zh-CN"/>
              </w:rPr>
            </w:pPr>
            <w:r>
              <w:rPr>
                <w:rFonts w:hint="eastAsia" w:ascii="宋体" w:hAnsi="宋体"/>
                <w:b/>
                <w:sz w:val="21"/>
                <w:szCs w:val="21"/>
                <w:lang w:val="en-US" w:eastAsia="zh-CN"/>
              </w:rPr>
              <w:t>提供有危险废物处置联单：高浓度废水、表面污泥、磷酸盐、除油剂，见附件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keepNext w:val="0"/>
              <w:keepLines w:val="0"/>
              <w:pageBreakBefore w:val="0"/>
              <w:kinsoku/>
              <w:wordWrap/>
              <w:overflowPunct/>
              <w:topLinePunct w:val="0"/>
              <w:bidi w:val="0"/>
              <w:snapToGrid/>
              <w:spacing w:line="340" w:lineRule="exact"/>
              <w:ind w:left="100" w:hanging="100" w:hangingChars="50"/>
              <w:textAlignment w:val="auto"/>
              <w:rPr>
                <w:b/>
                <w:color w:val="000000"/>
                <w:sz w:val="20"/>
                <w:szCs w:val="20"/>
              </w:rPr>
            </w:pPr>
            <w:r>
              <w:rPr>
                <w:rFonts w:hint="eastAsia"/>
                <w:b/>
                <w:color w:val="000000"/>
                <w:sz w:val="20"/>
                <w:szCs w:val="20"/>
              </w:rPr>
              <w:t>1. .对质量/环境/职业健康安全目标指标进行定期监测/检查情况</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4"/>
              </w:numPr>
              <w:kinsoku/>
              <w:wordWrap/>
              <w:overflowPunct/>
              <w:topLinePunct w:val="0"/>
              <w:bidi w:val="0"/>
              <w:snapToGrid/>
              <w:spacing w:line="340" w:lineRule="exact"/>
              <w:ind w:left="100" w:hanging="100" w:hangingChars="50"/>
              <w:textAlignment w:val="auto"/>
              <w:rPr>
                <w:rFonts w:hint="eastAsia"/>
                <w:b/>
                <w:color w:val="000000"/>
                <w:sz w:val="20"/>
                <w:szCs w:val="20"/>
              </w:rPr>
            </w:pPr>
            <w:r>
              <w:rPr>
                <w:rFonts w:hint="eastAsia"/>
                <w:b/>
                <w:color w:val="000000"/>
                <w:sz w:val="20"/>
                <w:szCs w:val="20"/>
              </w:rPr>
              <w:t>顾客满意</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rPr>
              <w:t>按照策划的安排于</w:t>
            </w:r>
            <w:r>
              <w:t>20</w:t>
            </w:r>
            <w:r>
              <w:rPr>
                <w:rFonts w:hint="eastAsia"/>
                <w:lang w:val="en-US" w:eastAsia="zh-CN"/>
              </w:rPr>
              <w:t>20年7月16-17日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3</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8</w:t>
            </w:r>
            <w:r>
              <w:rPr>
                <w:rFonts w:hint="eastAsia" w:cs="宋体"/>
              </w:rPr>
              <w:t>月</w:t>
            </w:r>
            <w:r>
              <w:rPr>
                <w:rFonts w:hint="eastAsia" w:cs="宋体"/>
                <w:lang w:val="en-US" w:eastAsia="zh-CN"/>
              </w:rPr>
              <w:t>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5"/>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40" w:lineRule="exact"/>
              <w:ind w:left="0" w:leftChars="0" w:firstLine="0" w:firstLineChars="0"/>
              <w:textAlignment w:val="auto"/>
              <w:rPr>
                <w:rFonts w:ascii="宋体" w:hAnsi="宋体"/>
                <w:b/>
                <w:sz w:val="21"/>
                <w:szCs w:val="21"/>
              </w:rPr>
            </w:pPr>
            <w:r>
              <w:rPr>
                <w:rFonts w:hint="eastAsia"/>
                <w:sz w:val="21"/>
                <w:szCs w:val="21"/>
                <w:lang w:val="en-US" w:eastAsia="zh-CN"/>
              </w:rPr>
              <w:t>提供的环境检测报告，符合要求，详见附件。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 xml:space="preserve">6.  </w:t>
            </w:r>
            <w:r>
              <w:rPr>
                <w:b/>
                <w:color w:val="000000"/>
                <w:sz w:val="20"/>
                <w:szCs w:val="20"/>
              </w:rPr>
              <w:t>EMS</w:t>
            </w:r>
            <w:r>
              <w:rPr>
                <w:rFonts w:hint="eastAsia"/>
                <w:b/>
                <w:color w:val="000000"/>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40" w:lineRule="exact"/>
              <w:textAlignment w:val="auto"/>
              <w:rPr>
                <w:rFonts w:ascii="宋体" w:hAnsi="宋体"/>
                <w:b/>
                <w:sz w:val="21"/>
                <w:szCs w:val="21"/>
              </w:rPr>
            </w:pPr>
            <w:r>
              <w:rPr>
                <w:rFonts w:hint="eastAsia"/>
                <w:sz w:val="21"/>
                <w:szCs w:val="21"/>
                <w:lang w:val="en-US" w:eastAsia="zh-CN"/>
              </w:rPr>
              <w:t>提供建设项目环境影响报告表、验收报告、验收意见，符合要求。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40" w:lineRule="exact"/>
              <w:textAlignment w:val="auto"/>
              <w:rPr>
                <w:rFonts w:hint="default"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8.OHSMS国家/地方职业健康安全部门监督检查情况及措施</w:t>
            </w:r>
          </w:p>
          <w:p>
            <w:pPr>
              <w:keepNext w:val="0"/>
              <w:keepLines w:val="0"/>
              <w:pageBreakBefore w:val="0"/>
              <w:kinsoku/>
              <w:wordWrap/>
              <w:overflowPunct/>
              <w:topLinePunct w:val="0"/>
              <w:bidi w:val="0"/>
              <w:snapToGrid/>
              <w:spacing w:line="340" w:lineRule="exact"/>
              <w:textAlignment w:val="auto"/>
              <w:rPr>
                <w:rFonts w:hint="default"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widowControl/>
              <w:numPr>
                <w:ilvl w:val="0"/>
                <w:numId w:val="6"/>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40" w:lineRule="exact"/>
              <w:ind w:left="0" w:leftChars="0" w:firstLine="0" w:firstLineChars="0"/>
              <w:textAlignment w:val="auto"/>
              <w:rPr>
                <w:rFonts w:ascii="宋体" w:hAnsi="宋体"/>
                <w:b/>
                <w:sz w:val="21"/>
                <w:szCs w:val="21"/>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w:t>
            </w:r>
            <w:r>
              <w:rPr>
                <w:rFonts w:hint="eastAsia"/>
                <w:sz w:val="21"/>
                <w:szCs w:val="21"/>
                <w:lang w:val="en-US" w:eastAsia="zh-CN"/>
              </w:rPr>
              <w:t>已实施</w:t>
            </w:r>
            <w:r>
              <w:rPr>
                <w:rFonts w:hint="eastAsia"/>
                <w:sz w:val="21"/>
                <w:szCs w:val="21"/>
              </w:rPr>
              <w:t>。</w:t>
            </w:r>
            <w:r>
              <w:rPr>
                <w:rFonts w:hint="eastAsia"/>
                <w:sz w:val="21"/>
                <w:szCs w:val="21"/>
                <w:lang w:eastAsia="zh-CN"/>
              </w:rPr>
              <w:t>纠正措施尚可，预防措施欠缺。</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50"/>
              <w:rPr>
                <w:rFonts w:hint="eastAsia" w:ascii="宋体" w:hAnsi="宋体" w:eastAsia="宋体"/>
                <w:b/>
                <w:sz w:val="21"/>
                <w:szCs w:val="21"/>
                <w:lang w:eastAsia="zh-CN"/>
              </w:rPr>
            </w:pPr>
            <w:r>
              <w:rPr>
                <w:rFonts w:hint="eastAsia"/>
                <w:lang w:val="en-US" w:eastAsia="zh-CN"/>
              </w:rPr>
              <w:t>未提供空压机储气罐的压力表，安全阀检验合格证明，此次验证合格，整改有效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bookmarkStart w:id="27" w:name="_GoBack"/>
            <w:bookmarkEnd w:id="27"/>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pStyle w:val="14"/>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bookmarkStart w:id="26" w:name="组织名称"/>
            <w:r>
              <w:rPr>
                <w:rFonts w:ascii="宋体" w:hAnsi="宋体"/>
                <w:szCs w:val="21"/>
              </w:rPr>
              <w:t>青木家居用品(珠海)有限公司</w:t>
            </w:r>
            <w:bookmarkEnd w:id="26"/>
            <w:r>
              <w:rPr>
                <w:rFonts w:hint="eastAsia"/>
                <w:sz w:val="21"/>
                <w:szCs w:val="21"/>
                <w:u w:val="single"/>
                <w:lang w:val="en-US" w:eastAsia="zh-CN"/>
              </w:rPr>
              <w:t xml:space="preserve">    </w:t>
            </w:r>
            <w:r>
              <w:rPr>
                <w:rFonts w:hint="eastAsia"/>
                <w:color w:val="auto"/>
                <w:kern w:val="2"/>
                <w:sz w:val="21"/>
                <w:szCs w:val="21"/>
                <w:lang w:val="en-GB"/>
              </w:rPr>
              <w:t>的</w:t>
            </w:r>
          </w:p>
          <w:p>
            <w:pPr>
              <w:pStyle w:val="14"/>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381202F"/>
    <w:multiLevelType w:val="singleLevel"/>
    <w:tmpl w:val="4381202F"/>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405E63"/>
    <w:rsid w:val="224061A1"/>
    <w:rsid w:val="38310AFE"/>
    <w:rsid w:val="594953D0"/>
    <w:rsid w:val="61B175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qFormat/>
    <w:locked/>
    <w:uiPriority w:val="99"/>
    <w:rPr>
      <w:rFonts w:ascii="Times New Roman" w:hAnsi="Times New Roman" w:eastAsia="宋体" w:cs="Times New Roman"/>
      <w:sz w:val="18"/>
      <w:szCs w:val="18"/>
    </w:rPr>
  </w:style>
  <w:style w:type="character" w:customStyle="1" w:styleId="10">
    <w:name w:val="页眉 Char"/>
    <w:link w:val="2"/>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2020-09-04T15:51:33Z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