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受审核部门：主管领导/陪同人员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审核员：审核时间：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val="en-US" w:eastAsia="zh-CN"/>
              </w:rPr>
            </w:pPr>
            <w:r>
              <w:rPr>
                <w:rFonts w:hint="eastAsia"/>
                <w:sz w:val="24"/>
                <w:szCs w:val="24"/>
              </w:rPr>
              <w:t>审核条款：</w:t>
            </w:r>
            <w:r>
              <w:rPr>
                <w:rFonts w:hint="eastAsia"/>
                <w:sz w:val="24"/>
                <w:szCs w:val="24"/>
                <w:lang w:eastAsia="zh-CN"/>
              </w:rPr>
              <w:t>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asciiTheme="minorEastAsia" w:hAnsiTheme="minorEastAsia" w:eastAsiaTheme="minorEastAsia" w:cstheme="minorEastAsia"/>
                <w:sz w:val="21"/>
                <w:szCs w:val="21"/>
              </w:rPr>
              <w:t>资源</w:t>
            </w:r>
          </w:p>
        </w:tc>
        <w:tc>
          <w:tcPr>
            <w:tcW w:w="9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  </w:t>
            </w:r>
          </w:p>
          <w:p>
            <w:r>
              <w:rPr>
                <w:rFonts w:hint="eastAsia" w:asciiTheme="minorEastAsia" w:hAnsiTheme="minorEastAsia" w:eastAsiaTheme="minorEastAsia" w:cstheme="minorEastAsia"/>
                <w:sz w:val="21"/>
                <w:szCs w:val="21"/>
              </w:rPr>
              <w:t>E/O：7.1</w:t>
            </w:r>
          </w:p>
        </w:tc>
        <w:tc>
          <w:tcPr>
            <w:tcW w:w="10004"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现有员工、办公生产销售场所、办公生产销售设备等基础设施以及必要的工作环境，配备较为充分。</w:t>
            </w:r>
          </w:p>
          <w:p>
            <w:pPr>
              <w:spacing w:line="24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查设备台帐，主要是办公设备，包括：</w:t>
            </w:r>
            <w:r>
              <w:rPr>
                <w:rFonts w:hint="eastAsia" w:asciiTheme="minorEastAsia" w:hAnsiTheme="minorEastAsia" w:eastAsiaTheme="minorEastAsia" w:cstheme="minorEastAsia"/>
                <w:sz w:val="21"/>
                <w:szCs w:val="21"/>
                <w:lang w:eastAsia="zh-CN"/>
              </w:rPr>
              <w:t>电脑、电话、</w:t>
            </w:r>
            <w:r>
              <w:rPr>
                <w:rFonts w:hint="eastAsia" w:asciiTheme="minorEastAsia" w:hAnsiTheme="minorEastAsia" w:eastAsiaTheme="minorEastAsia" w:cstheme="minorEastAsia"/>
                <w:sz w:val="21"/>
                <w:szCs w:val="21"/>
                <w:lang w:val="en-US" w:eastAsia="zh-CN"/>
              </w:rPr>
              <w:t>办公桌椅、展板、文件柜、</w:t>
            </w:r>
            <w:r>
              <w:rPr>
                <w:rFonts w:hint="eastAsia" w:asciiTheme="minorEastAsia" w:hAnsiTheme="minorEastAsia" w:eastAsiaTheme="minorEastAsia" w:cstheme="minorEastAsia"/>
                <w:sz w:val="21"/>
                <w:szCs w:val="21"/>
                <w:lang w:eastAsia="zh-CN"/>
              </w:rPr>
              <w:t>汽车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综合部</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日常维护保养包括对电脑的定期杀毒，车的定期保养、大中小修、定期年检。全部完好。</w:t>
            </w:r>
          </w:p>
          <w:p>
            <w:pPr>
              <w:spacing w:line="400" w:lineRule="exact"/>
              <w:ind w:firstLine="420" w:firstLineChars="200"/>
            </w:pPr>
            <w:r>
              <w:rPr>
                <w:rFonts w:hint="eastAsia" w:asciiTheme="minorEastAsia" w:hAnsiTheme="minorEastAsia" w:eastAsiaTheme="minorEastAsia" w:cstheme="minorEastAsia"/>
                <w:color w:val="auto"/>
                <w:sz w:val="21"/>
                <w:szCs w:val="21"/>
                <w:highlight w:val="none"/>
              </w:rPr>
              <w:t>消防栓、灭火器</w:t>
            </w:r>
            <w:r>
              <w:rPr>
                <w:rFonts w:hint="eastAsia" w:asciiTheme="minorEastAsia" w:hAnsiTheme="minorEastAsia" w:eastAsiaTheme="minorEastAsia" w:cstheme="minorEastAsia"/>
                <w:color w:val="auto"/>
                <w:sz w:val="21"/>
                <w:szCs w:val="21"/>
                <w:highlight w:val="none"/>
                <w:lang w:val="en-US" w:eastAsia="zh-CN"/>
              </w:rPr>
              <w:t>若干，</w:t>
            </w:r>
            <w:r>
              <w:rPr>
                <w:rFonts w:hint="eastAsia" w:asciiTheme="minorEastAsia" w:hAnsiTheme="minorEastAsia" w:eastAsiaTheme="minorEastAsia" w:cstheme="minorEastAsia"/>
                <w:color w:val="auto"/>
                <w:sz w:val="21"/>
                <w:szCs w:val="21"/>
                <w:highlight w:val="none"/>
              </w:rPr>
              <w:t>配电箱</w:t>
            </w:r>
            <w:r>
              <w:rPr>
                <w:rFonts w:hint="eastAsia" w:asciiTheme="minorEastAsia" w:hAnsiTheme="minorEastAsia" w:eastAsiaTheme="minorEastAsia" w:cstheme="minorEastAsia"/>
                <w:color w:val="auto"/>
                <w:sz w:val="21"/>
                <w:szCs w:val="21"/>
                <w:highlight w:val="none"/>
                <w:lang w:eastAsia="zh-CN"/>
              </w:rPr>
              <w:t>无异常。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heme="minorEastAsia" w:hAnsiTheme="minorEastAsia" w:eastAsiaTheme="minorEastAsia" w:cstheme="minorEastAsia"/>
                <w:color w:val="auto"/>
                <w:sz w:val="21"/>
                <w:szCs w:val="21"/>
                <w:lang w:val="en-US" w:eastAsia="zh-CN"/>
              </w:rPr>
              <w:t>策划</w:t>
            </w:r>
          </w:p>
        </w:tc>
        <w:tc>
          <w:tcPr>
            <w:tcW w:w="960" w:type="dxa"/>
            <w:vAlign w:val="center"/>
          </w:tcPr>
          <w:p>
            <w:r>
              <w:rPr>
                <w:rFonts w:hint="eastAsia" w:asciiTheme="minorEastAsia" w:hAnsiTheme="minorEastAsia" w:eastAsiaTheme="minorEastAsia" w:cstheme="minorEastAsia"/>
                <w:color w:val="auto"/>
                <w:sz w:val="21"/>
                <w:szCs w:val="21"/>
                <w:lang w:val="en-US" w:eastAsia="zh-CN"/>
              </w:rPr>
              <w:t>Q8.1</w:t>
            </w:r>
          </w:p>
        </w:tc>
        <w:tc>
          <w:tcPr>
            <w:tcW w:w="10004" w:type="dxa"/>
            <w:vAlign w:val="center"/>
          </w:tcPr>
          <w:p>
            <w:pPr>
              <w:tabs>
                <w:tab w:val="left" w:pos="900"/>
              </w:tabs>
              <w:spacing w:line="360" w:lineRule="auto"/>
              <w:jc w:val="left"/>
              <w:rPr>
                <w:rFonts w:hint="eastAsia"/>
              </w:rPr>
            </w:pPr>
            <w:r>
              <w:rPr>
                <w:rFonts w:hint="eastAsia"/>
              </w:rPr>
              <w:t>销售流程：客户接触----合同评审----签订合同-----客户付款------入帐------采购-----客户提货-----验收</w:t>
            </w:r>
          </w:p>
          <w:p>
            <w:pPr>
              <w:spacing w:line="360" w:lineRule="auto"/>
              <w:ind w:firstLine="420"/>
              <w:rPr>
                <w:rFonts w:hint="eastAsia"/>
                <w:lang w:val="en-US" w:eastAsia="zh-CN"/>
              </w:rPr>
            </w:pPr>
            <w:r>
              <w:rPr>
                <w:rFonts w:hint="eastAsia"/>
                <w:lang w:val="zh-CN" w:eastAsia="zh-CN"/>
              </w:rPr>
              <w:t>需确认过程：销售服务过程，</w:t>
            </w:r>
            <w:r>
              <w:rPr>
                <w:rFonts w:hint="eastAsia"/>
                <w:lang w:val="en-US" w:eastAsia="zh-CN"/>
              </w:rPr>
              <w:t xml:space="preserve">查见《 </w:t>
            </w:r>
            <w:r>
              <w:rPr>
                <w:rFonts w:hint="eastAsia"/>
              </w:rPr>
              <w:t>JL-8.5-01</w:t>
            </w:r>
            <w:r>
              <w:rPr>
                <w:rFonts w:hint="eastAsia"/>
                <w:lang w:val="en-US" w:eastAsia="zh-CN"/>
              </w:rPr>
              <w:t>特殊过程确认表</w:t>
            </w:r>
            <w:r>
              <w:rPr>
                <w:rFonts w:hint="eastAsia"/>
              </w:rPr>
              <w:t>》，对</w:t>
            </w:r>
            <w:r>
              <w:rPr>
                <w:rFonts w:hint="eastAsia"/>
                <w:lang w:val="en-US" w:eastAsia="zh-CN"/>
              </w:rPr>
              <w:t>该</w:t>
            </w:r>
            <w:r>
              <w:rPr>
                <w:rFonts w:hint="eastAsia"/>
              </w:rPr>
              <w:t>过程从工作人员能力、设备能力、工作流程等方面进行了确认评价。确认结论：满足要求。确认人：贾晓东 毕永红 王鸷</w:t>
            </w:r>
            <w:r>
              <w:rPr>
                <w:rFonts w:hint="eastAsia"/>
                <w:lang w:eastAsia="zh-CN"/>
              </w:rPr>
              <w:t>，</w:t>
            </w:r>
            <w:r>
              <w:rPr>
                <w:rFonts w:hint="eastAsia"/>
              </w:rPr>
              <w:t xml:space="preserve"> 时间:2020.3.10</w:t>
            </w:r>
            <w:r>
              <w:rPr>
                <w:rFonts w:hint="eastAsia"/>
                <w:lang w:val="en-US" w:eastAsia="zh-CN"/>
              </w:rPr>
              <w:t>。</w:t>
            </w:r>
            <w:r>
              <w:rPr>
                <w:rFonts w:hint="eastAsia"/>
              </w:rPr>
              <w:t>该特殊过程自确认后，人</w:t>
            </w:r>
            <w:r>
              <w:rPr>
                <w:rFonts w:hint="eastAsia"/>
                <w:lang w:val="en-US" w:eastAsia="zh-CN"/>
              </w:rPr>
              <w:t>员、设备、工作流程没有变更发生，无再确认的情况。</w:t>
            </w:r>
          </w:p>
          <w:p>
            <w:pPr>
              <w:spacing w:line="360" w:lineRule="auto"/>
              <w:ind w:firstLine="420"/>
              <w:rPr>
                <w:rFonts w:hint="eastAsia" w:ascii="Times New Roman" w:hAnsi="Times New Roman" w:eastAsia="宋体" w:cs="Times New Roman"/>
                <w:szCs w:val="22"/>
                <w:lang w:val="en-US" w:eastAsia="zh-CN"/>
              </w:rPr>
            </w:pPr>
            <w:r>
              <w:rPr>
                <w:rFonts w:hint="eastAsia"/>
                <w:lang w:val="en-US" w:eastAsia="zh-CN"/>
              </w:rPr>
              <w:t>该企业无库房</w:t>
            </w:r>
            <w:r>
              <w:rPr>
                <w:rFonts w:hint="eastAsia" w:ascii="Times New Roman" w:hAnsi="Times New Roman" w:eastAsia="宋体" w:cs="Times New Roman"/>
                <w:szCs w:val="22"/>
                <w:lang w:val="en-US" w:eastAsia="zh-CN"/>
              </w:rPr>
              <w:t>，销售员从采购合格供应商订货后，厂家直接发货，在规定时间内和指定地点，厂家会去给客户安装，调试，销售员及时跟进进度，随时向销售经理汇报情况。</w:t>
            </w:r>
          </w:p>
          <w:p>
            <w:pPr>
              <w:keepNext w:val="0"/>
              <w:keepLines w:val="0"/>
              <w:widowControl/>
              <w:suppressLineNumbers w:val="0"/>
              <w:jc w:val="left"/>
              <w:rPr>
                <w:rFonts w:hint="eastAsia"/>
                <w:szCs w:val="22"/>
                <w:lang w:val="en-US" w:eastAsia="zh-CN"/>
              </w:rPr>
            </w:pPr>
            <w:bookmarkStart w:id="0" w:name="_GoBack"/>
            <w:r>
              <w:rPr>
                <w:rFonts w:hint="eastAsia" w:ascii="Times New Roman" w:hAnsi="Times New Roman" w:eastAsia="宋体" w:cs="Times New Roman"/>
                <w:color w:val="auto"/>
                <w:szCs w:val="22"/>
                <w:lang w:val="en-US" w:eastAsia="zh-CN"/>
              </w:rPr>
              <w:t>经确认：销售实现过程</w:t>
            </w:r>
            <w:r>
              <w:rPr>
                <w:rFonts w:hint="eastAsia" w:cs="Times New Roman"/>
                <w:color w:val="auto"/>
                <w:szCs w:val="22"/>
                <w:lang w:val="en-US" w:eastAsia="zh-CN"/>
              </w:rPr>
              <w:t>有</w:t>
            </w:r>
            <w:r>
              <w:rPr>
                <w:rFonts w:hint="eastAsia" w:ascii="Times New Roman" w:hAnsi="Times New Roman" w:eastAsia="宋体" w:cs="Times New Roman"/>
                <w:color w:val="auto"/>
                <w:szCs w:val="22"/>
                <w:lang w:val="en-US" w:eastAsia="zh-CN"/>
              </w:rPr>
              <w:t>外</w:t>
            </w:r>
            <w:r>
              <w:rPr>
                <w:rFonts w:hint="eastAsia"/>
                <w:color w:val="auto"/>
                <w:szCs w:val="22"/>
                <w:lang w:val="en-US" w:eastAsia="zh-CN"/>
              </w:rPr>
              <w:t>包过程，见2020 年 2 月 30 日，与上海瑄嘉技术服务中心签订的《技术服务合同》，合同号：QL-XJ-20200230，服务内容:乙方为甲方提供比值分析仪系统售后服务。  服务方式包括:1、现场技术支持；2、电话技术支持、电子邮件技术支持；3、网络远程技术支持；4、软件免费升级等</w:t>
            </w:r>
            <w:bookmarkEnd w:id="0"/>
            <w:r>
              <w:rPr>
                <w:rFonts w:hint="eastAsia"/>
                <w:szCs w:val="22"/>
                <w:lang w:val="en-US" w:eastAsia="zh-CN"/>
              </w:rPr>
              <w:t xml:space="preserve">， </w:t>
            </w:r>
          </w:p>
          <w:p>
            <w:pPr>
              <w:pStyle w:val="2"/>
              <w:jc w:val="both"/>
              <w:rPr>
                <w:rFonts w:hint="eastAsia" w:cs="Times New Roman"/>
                <w:color w:val="0000FF"/>
                <w:szCs w:val="22"/>
                <w:lang w:val="en-US" w:eastAsia="zh-CN"/>
              </w:rPr>
            </w:pPr>
          </w:p>
          <w:p>
            <w:pPr>
              <w:spacing w:line="360" w:lineRule="auto"/>
              <w:ind w:firstLine="420"/>
            </w:pPr>
            <w:r>
              <w:rPr>
                <w:rFonts w:hint="eastAsia" w:ascii="Times New Roman" w:hAnsi="Times New Roman" w:eastAsia="宋体" w:cs="Times New Roman"/>
                <w:szCs w:val="22"/>
                <w:lang w:eastAsia="zh-CN"/>
              </w:rPr>
              <w:t>查见</w:t>
            </w:r>
            <w:r>
              <w:rPr>
                <w:rFonts w:hint="eastAsia" w:cs="Times New Roman"/>
                <w:szCs w:val="22"/>
                <w:lang w:eastAsia="zh-CN"/>
              </w:rPr>
              <w:t>执行标准：</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fldChar w:fldCharType="begin"/>
            </w:r>
            <w:r>
              <w:rPr>
                <w:rFonts w:hint="eastAsia" w:ascii="Times New Roman" w:hAnsi="Times New Roman" w:eastAsia="宋体" w:cs="Times New Roman"/>
                <w:szCs w:val="22"/>
              </w:rPr>
              <w:instrText xml:space="preserve"> HYPERLINK "http://www.bzxzk.net/gjbz/27062014/132284.html" \t "http://www.bzxzk.net/e/search/result/_blank" </w:instrText>
            </w:r>
            <w:r>
              <w:rPr>
                <w:rFonts w:hint="eastAsia" w:ascii="Times New Roman" w:hAnsi="Times New Roman" w:eastAsia="宋体" w:cs="Times New Roman"/>
                <w:szCs w:val="22"/>
              </w:rPr>
              <w:fldChar w:fldCharType="separate"/>
            </w:r>
            <w:r>
              <w:rPr>
                <w:rFonts w:hint="default" w:ascii="Times New Roman" w:hAnsi="Times New Roman" w:eastAsia="宋体" w:cs="Times New Roman"/>
                <w:szCs w:val="22"/>
              </w:rPr>
              <w:t>GBT2900.90-2012 电工术语 电工电子测量和仪器仪表 各类仪表的特殊术语</w:t>
            </w:r>
            <w:r>
              <w:rPr>
                <w:rFonts w:hint="default" w:ascii="Times New Roman" w:hAnsi="Times New Roman" w:eastAsia="宋体" w:cs="Times New Roman"/>
                <w:szCs w:val="22"/>
              </w:rPr>
              <w:fldChar w:fldCharType="end"/>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rPr>
              <w:fldChar w:fldCharType="begin"/>
            </w:r>
            <w:r>
              <w:rPr>
                <w:rFonts w:hint="default" w:ascii="Times New Roman" w:hAnsi="Times New Roman" w:eastAsia="宋体" w:cs="Times New Roman"/>
                <w:szCs w:val="22"/>
              </w:rPr>
              <w:instrText xml:space="preserve"> HYPERLINK "http://www.bzxzk.net/gjbz/01032014/127207.html" \t "http://www.bzxzk.net/e/search/result/_blank" </w:instrText>
            </w:r>
            <w:r>
              <w:rPr>
                <w:rFonts w:hint="default" w:ascii="Times New Roman" w:hAnsi="Times New Roman" w:eastAsia="宋体" w:cs="Times New Roman"/>
                <w:szCs w:val="22"/>
              </w:rPr>
              <w:fldChar w:fldCharType="separate"/>
            </w:r>
            <w:r>
              <w:rPr>
                <w:rFonts w:hint="default" w:ascii="Times New Roman" w:hAnsi="Times New Roman" w:eastAsia="宋体" w:cs="Times New Roman"/>
                <w:szCs w:val="22"/>
              </w:rPr>
              <w:t>GBT28879-2012 电工仪器仪表产品型号编制方法</w:t>
            </w:r>
            <w:r>
              <w:rPr>
                <w:rFonts w:hint="default" w:ascii="Times New Roman" w:hAnsi="Times New Roman" w:eastAsia="宋体" w:cs="Times New Roman"/>
                <w:szCs w:val="22"/>
              </w:rPr>
              <w:fldChar w:fldCharType="end"/>
            </w:r>
            <w:r>
              <w:rPr>
                <w:rFonts w:hint="eastAsia" w:ascii="Times New Roman" w:hAnsi="Times New Roman" w:eastAsia="宋体" w:cs="Times New Roman"/>
                <w:szCs w:val="22"/>
                <w:lang w:val="en-US" w:eastAsia="zh-CN"/>
              </w:rPr>
              <w:t>》、中华人民共和物权法、中华人民共和国合同法、中华人民共和国产品质量法、中华人民共和国消费者权益保护法、中华人民共和国专利法、中华人民共和国商标法、中华人民共和国广告法、中华人民共和国反不正当竞争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销售</w:t>
            </w:r>
          </w:p>
          <w:p>
            <w:pPr>
              <w:pStyle w:val="11"/>
            </w:pPr>
            <w:r>
              <w:rPr>
                <w:rFonts w:hint="eastAsia" w:asciiTheme="minorEastAsia" w:hAnsiTheme="minorEastAsia" w:eastAsiaTheme="minorEastAsia" w:cstheme="minorEastAsia"/>
                <w:color w:val="auto"/>
                <w:sz w:val="21"/>
                <w:szCs w:val="21"/>
              </w:rPr>
              <w:t>与客户有关</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r>
              <w:rPr>
                <w:rFonts w:hint="eastAsia" w:asciiTheme="minorEastAsia" w:hAnsiTheme="minorEastAsia" w:eastAsiaTheme="minorEastAsia" w:cstheme="minorEastAsia"/>
                <w:color w:val="auto"/>
                <w:sz w:val="21"/>
                <w:szCs w:val="21"/>
              </w:rPr>
              <w:t>8.2</w:t>
            </w:r>
          </w:p>
        </w:tc>
        <w:tc>
          <w:tcPr>
            <w:tcW w:w="10004" w:type="dxa"/>
            <w:vAlign w:val="center"/>
          </w:tcPr>
          <w:p>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w:t>
            </w:r>
          </w:p>
          <w:p>
            <w:pPr>
              <w:pStyle w:val="1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供方</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8.4</w:t>
            </w:r>
          </w:p>
          <w:p>
            <w:pPr>
              <w:pStyle w:val="1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O8.1.4</w:t>
            </w:r>
          </w:p>
        </w:tc>
        <w:tc>
          <w:tcPr>
            <w:tcW w:w="10004"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查阅了《合格供方登记表》，抽查如下：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环境因素评价和控制措施的确定</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10004"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危险源辨识、风险评价和控制措施</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10004"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火灾、触电，评价基本准确。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vAlign w:val="top"/>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法律法规和其他要求和合规性评价（OHSMS）</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11"/>
              <w:rPr>
                <w:rFonts w:hint="eastAsia" w:asciiTheme="minorEastAsia" w:hAnsiTheme="minorEastAsia" w:eastAsiaTheme="minorEastAsia" w:cstheme="minorEastAsia"/>
                <w:color w:val="auto"/>
                <w:sz w:val="21"/>
                <w:szCs w:val="21"/>
              </w:rPr>
            </w:pPr>
          </w:p>
        </w:tc>
        <w:tc>
          <w:tcPr>
            <w:tcW w:w="10004" w:type="dxa"/>
            <w:vAlign w:val="top"/>
          </w:tcPr>
          <w:p>
            <w:pPr>
              <w:numPr>
                <w:ilvl w:val="0"/>
                <w:numId w:val="0"/>
              </w:num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环</w:t>
            </w:r>
            <w:r>
              <w:rPr>
                <w:rFonts w:hint="eastAsia" w:asciiTheme="minorEastAsia" w:hAnsiTheme="minorEastAsia" w:eastAsiaTheme="minorEastAsia" w:cstheme="minorEastAsia"/>
                <w:color w:val="auto"/>
                <w:sz w:val="21"/>
                <w:szCs w:val="21"/>
                <w:lang w:eastAsia="zh-CN"/>
              </w:rPr>
              <w:t>境因素和危险源识别评价与控制程序、环境和职业健康安全法律法规控制程序</w:t>
            </w:r>
            <w:r>
              <w:rPr>
                <w:rFonts w:hint="eastAsia" w:asciiTheme="minorEastAsia" w:hAnsiTheme="minorEastAsia" w:eastAsiaTheme="minorEastAsia" w:cstheme="minorEastAsia"/>
                <w:color w:val="auto"/>
                <w:sz w:val="21"/>
                <w:szCs w:val="21"/>
                <w:lang w:val="en-US" w:eastAsia="zh-CN"/>
              </w:rPr>
              <w:t>等，</w:t>
            </w:r>
          </w:p>
          <w:p>
            <w:pPr>
              <w:numPr>
                <w:ilvl w:val="0"/>
                <w:numId w:val="0"/>
              </w:num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见法律法规和其他要求一览表，</w:t>
            </w:r>
          </w:p>
          <w:p>
            <w:pPr>
              <w:numPr>
                <w:ilvl w:val="0"/>
                <w:numId w:val="0"/>
              </w:num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云南省安全生产条例、云南省职业病防治条例、 云南省消防条例、云南省工伤保险条例、 云南省贯彻&lt;工伤保险条例&gt;实施办法</w:t>
            </w:r>
            <w:r>
              <w:rPr>
                <w:rFonts w:hint="eastAsia" w:asciiTheme="minorEastAsia" w:hAnsiTheme="minorEastAsia" w:eastAsiaTheme="minorEastAsia" w:cstheme="minorEastAsia"/>
                <w:color w:val="auto"/>
                <w:sz w:val="21"/>
                <w:szCs w:val="21"/>
                <w:lang w:eastAsia="zh-CN"/>
              </w:rPr>
              <w:t>、环境监测管理办法、中华人民共和国环境噪声污染防治法、昆明市环境噪声污染防治管理办法、云南省节约能源条例、云南省实施《中华人民共和国水法》办法、云南省消防条例、云南省大气污染防治条例 、昆明市城市垃圾管理办法(昆明市人民政府令第58号)等，</w:t>
            </w:r>
          </w:p>
          <w:p>
            <w:pPr>
              <w:numPr>
                <w:ilvl w:val="0"/>
                <w:numId w:val="0"/>
              </w:num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合规性评价， 评价人：王鸷  毕永红 贾晓东      日期：2020.</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.10</w:t>
            </w:r>
          </w:p>
          <w:p>
            <w:pPr>
              <w:numPr>
                <w:ilvl w:val="0"/>
                <w:numId w:val="0"/>
              </w:num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控制措施及现状：已制定安全防火制度及应急预案。配备消防器材。重点场所标识禁火。定期巡查，消除隐患。每年进行一次消防演练；</w:t>
            </w:r>
            <w:r>
              <w:rPr>
                <w:rFonts w:hint="eastAsia" w:asciiTheme="minorEastAsia" w:hAnsiTheme="minorEastAsia" w:eastAsiaTheme="minorEastAsia" w:cstheme="minorEastAsia"/>
                <w:color w:val="auto"/>
                <w:sz w:val="21"/>
                <w:szCs w:val="21"/>
                <w:lang w:val="en-US" w:eastAsia="zh-CN"/>
              </w:rPr>
              <w:t xml:space="preserve"> 严格按法律法规执行，目前未有违规现象。</w:t>
            </w:r>
          </w:p>
          <w:p>
            <w:pPr>
              <w:pStyle w:val="11"/>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val="en-US" w:eastAsia="zh-CN"/>
              </w:rPr>
              <w:t>基本符合</w:t>
            </w:r>
          </w:p>
        </w:tc>
        <w:tc>
          <w:tcPr>
            <w:tcW w:w="1585" w:type="dxa"/>
          </w:tcPr>
          <w:p/>
        </w:tc>
      </w:tr>
    </w:tbl>
    <w:p>
      <w:r>
        <w:ptab w:relativeTo="margin" w:alignment="center" w:leader="none"/>
      </w:r>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482D7A"/>
    <w:rsid w:val="03872719"/>
    <w:rsid w:val="060F01C2"/>
    <w:rsid w:val="084B21DE"/>
    <w:rsid w:val="0D247DFA"/>
    <w:rsid w:val="1347153E"/>
    <w:rsid w:val="162445BD"/>
    <w:rsid w:val="176A4575"/>
    <w:rsid w:val="19872381"/>
    <w:rsid w:val="1C1C4BB6"/>
    <w:rsid w:val="1ED71FA4"/>
    <w:rsid w:val="20A013FF"/>
    <w:rsid w:val="391772ED"/>
    <w:rsid w:val="3FB00F52"/>
    <w:rsid w:val="415D3783"/>
    <w:rsid w:val="42136C6B"/>
    <w:rsid w:val="45437E3E"/>
    <w:rsid w:val="4844324C"/>
    <w:rsid w:val="5D897EBD"/>
    <w:rsid w:val="614F2132"/>
    <w:rsid w:val="6C170356"/>
    <w:rsid w:val="73133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uiPriority w:val="99"/>
    <w:rPr>
      <w:rFonts w:ascii="Times New Roman" w:hAnsi="Times New Roman" w:eastAsia="宋体" w:cs="Times New Roman"/>
      <w:sz w:val="18"/>
      <w:szCs w:val="18"/>
    </w:rPr>
  </w:style>
  <w:style w:type="character" w:customStyle="1" w:styleId="8">
    <w:name w:val="页脚 Char"/>
    <w:basedOn w:val="6"/>
    <w:link w:val="4"/>
    <w:uiPriority w:val="99"/>
    <w:rPr>
      <w:rFonts w:ascii="Times New Roman" w:hAnsi="Times New Roman" w:eastAsia="宋体" w:cs="Times New Roman"/>
      <w:sz w:val="18"/>
      <w:szCs w:val="18"/>
    </w:rPr>
  </w:style>
  <w:style w:type="character" w:customStyle="1" w:styleId="9">
    <w:name w:val="批注框文本 Char"/>
    <w:basedOn w:val="6"/>
    <w:link w:val="3"/>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 w:type="character" w:customStyle="1" w:styleId="1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2020-08-29T03:46:28Z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