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233"/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23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受审核部门：综合部（含财务）    负责人：毕永红   </w:t>
            </w:r>
            <w:r>
              <w:rPr>
                <w:rFonts w:hint="eastAsia"/>
              </w:rPr>
              <w:t>陪同：毕永红</w:t>
            </w:r>
          </w:p>
        </w:tc>
        <w:tc>
          <w:tcPr>
            <w:tcW w:w="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233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审核员：张鹏  王旭                 审核时间： 20</w:t>
            </w:r>
            <w:r>
              <w:rPr>
                <w:sz w:val="24"/>
                <w:szCs w:val="24"/>
              </w:rPr>
              <w:t>20.</w:t>
            </w: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23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z w:val="20"/>
              </w:rPr>
              <w:t>Q7.1.6/7.5；EO 6.1.2/6.1.3/6.2.2/7.5/8.2</w:t>
            </w:r>
          </w:p>
        </w:tc>
        <w:tc>
          <w:tcPr>
            <w:tcW w:w="3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组织的知识，文件化信息，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pStyle w:val="2"/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环境因素、危险源的识别评价情况，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合规义务、适用法律法规识别的充分性及合规性评价情况，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目标、指标及管理方案的可行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bookmarkStart w:id="0" w:name="_GoBack"/>
            <w:bookmarkEnd w:id="0"/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  <w:sz w:val="20"/>
              </w:rPr>
              <w:t>应急准备及响应</w:t>
            </w:r>
          </w:p>
          <w:p/>
        </w:tc>
        <w:tc>
          <w:tcPr>
            <w:tcW w:w="960" w:type="dxa"/>
          </w:tcPr>
          <w:p>
            <w:pPr>
              <w:pStyle w:val="2"/>
            </w:pPr>
            <w:r>
              <w:rPr>
                <w:rFonts w:hint="eastAsia" w:ascii="宋体" w:hAnsi="宋体" w:cs="宋体"/>
                <w:sz w:val="20"/>
              </w:rPr>
              <w:t>Q7.1.6/7.5；EO 6.1.2/6.1.3/6.2.2/7.5/8.2</w:t>
            </w:r>
          </w:p>
        </w:tc>
        <w:tc>
          <w:tcPr>
            <w:tcW w:w="11233" w:type="dxa"/>
          </w:tcPr>
          <w:p>
            <w:pPr>
              <w:pStyle w:val="2"/>
              <w:numPr>
                <w:ilvl w:val="0"/>
                <w:numId w:val="1"/>
              </w:numPr>
            </w:pPr>
            <w:r>
              <w:rPr>
                <w:rFonts w:hint="eastAsia"/>
              </w:rPr>
              <w:t>管理手册</w:t>
            </w:r>
            <w:r>
              <w:rPr>
                <w:rFonts w:hint="eastAsia"/>
                <w:b/>
              </w:rPr>
              <w:t>OSBD</w:t>
            </w:r>
            <w:r>
              <w:rPr>
                <w:b/>
              </w:rPr>
              <w:t>-SC</w:t>
            </w:r>
            <w:r>
              <w:rPr>
                <w:rFonts w:hint="eastAsia"/>
                <w:b/>
              </w:rPr>
              <w:t xml:space="preserve">-A/0-2020 </w:t>
            </w:r>
            <w:r>
              <w:rPr>
                <w:rFonts w:hint="eastAsia"/>
              </w:rPr>
              <w:t xml:space="preserve"> A/</w:t>
            </w:r>
            <w:r>
              <w:t>0</w:t>
            </w:r>
            <w:r>
              <w:rPr>
                <w:rFonts w:hint="eastAsia"/>
              </w:rPr>
              <w:t>版，发布时间：20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t>03</w:t>
            </w:r>
            <w:r>
              <w:rPr>
                <w:rFonts w:hint="eastAsia"/>
              </w:rPr>
              <w:t>月10日实施时间：20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t>03</w:t>
            </w:r>
            <w:r>
              <w:rPr>
                <w:rFonts w:hint="eastAsia"/>
              </w:rPr>
              <w:t xml:space="preserve">月 </w:t>
            </w:r>
            <w:r>
              <w:t xml:space="preserve">       </w:t>
            </w:r>
            <w:r>
              <w:rPr>
                <w:rFonts w:hint="eastAsia"/>
              </w:rPr>
              <w:t>10日</w:t>
            </w:r>
          </w:p>
          <w:p>
            <w:pPr>
              <w:pStyle w:val="2"/>
              <w:tabs>
                <w:tab w:val="left" w:pos="312"/>
              </w:tabs>
              <w:rPr>
                <w:b/>
              </w:rPr>
            </w:pPr>
            <w:r>
              <w:rPr>
                <w:rFonts w:hint="eastAsia"/>
              </w:rPr>
              <w:t>2.程序文件</w:t>
            </w:r>
            <w:r>
              <w:rPr>
                <w:rFonts w:hint="eastAsia"/>
                <w:b/>
              </w:rPr>
              <w:t xml:space="preserve">OSBD </w:t>
            </w:r>
            <w:r>
              <w:rPr>
                <w:b/>
              </w:rPr>
              <w:t>-</w:t>
            </w:r>
            <w:r>
              <w:rPr>
                <w:rFonts w:hint="eastAsia"/>
                <w:b/>
              </w:rPr>
              <w:t>CX -A/0-2020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</w:rPr>
              <w:t>A</w:t>
            </w:r>
            <w:r>
              <w:t>/0</w:t>
            </w:r>
            <w:r>
              <w:rPr>
                <w:rFonts w:hint="eastAsia"/>
              </w:rPr>
              <w:t>版含2</w:t>
            </w:r>
            <w:r>
              <w:t>3</w:t>
            </w:r>
            <w:r>
              <w:rPr>
                <w:rFonts w:hint="eastAsia"/>
              </w:rPr>
              <w:t>个文件，包括标准要求的形成文件的信息。</w:t>
            </w:r>
          </w:p>
          <w:p>
            <w:pPr>
              <w:pStyle w:val="2"/>
              <w:tabs>
                <w:tab w:val="left" w:pos="312"/>
              </w:tabs>
            </w:pPr>
            <w:r>
              <w:rPr>
                <w:rFonts w:hint="eastAsia"/>
              </w:rPr>
              <w:t>3.管理制度汇编：质量管理制度、销售管理制度等10个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综合部提供了外来文件清单，包括法律法规、国家标准等18个，其中包括销售产品的国家标准。</w:t>
            </w:r>
          </w:p>
          <w:p>
            <w:pPr>
              <w:pStyle w:val="2"/>
            </w:pPr>
            <w:r>
              <w:rPr>
                <w:rFonts w:hint="eastAsia"/>
              </w:rPr>
              <w:t>综合部提供了受控文件清单，包括体系文件、管理制度等。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综合部提供了公司的环境因素识别与评价清单，共识别出环境因素2</w:t>
            </w:r>
            <w:r>
              <w:t>3</w:t>
            </w:r>
            <w:r>
              <w:rPr>
                <w:rFonts w:hint="eastAsia"/>
              </w:rPr>
              <w:t>条，包括电消耗、电磁辐射等，其中两条环境因素被评为重要环境因素。其余评价结果均为一般环境因素。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  <w:sz w:val="21"/>
                <w:szCs w:val="20"/>
              </w:rPr>
              <w:t>综合部提供了“重要环境因素清单”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1. 潜在火灾事故发生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2. 固体废弃物处理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综合部提供了公司的危险源辨识与评价表，共识别出危险源2</w:t>
            </w:r>
            <w:r>
              <w:t>6</w:t>
            </w:r>
            <w:r>
              <w:rPr>
                <w:rFonts w:hint="eastAsia"/>
              </w:rPr>
              <w:t>条，包括照明电气线路老化、接地、漏电失灵、超时劳动等。评价出2条为不可接受风险。其余为一般危险源。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综合部提供了“不可接受风险清单”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1.潜在火灾、爆炸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2.触电</w:t>
            </w:r>
          </w:p>
          <w:p>
            <w:pPr>
              <w:pStyle w:val="2"/>
            </w:pPr>
          </w:p>
          <w:p>
            <w:pPr>
              <w:pStyle w:val="2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综合部提供了环境适用法律、法规及其它要求清单，清单中包括30条法律法规，提供了职业健康安全适用法律、法规及其它要求清单，清单中包括30条法律法规。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Cs/>
                <w:spacing w:val="10"/>
                <w:sz w:val="21"/>
                <w:szCs w:val="21"/>
              </w:rPr>
            </w:pPr>
            <w:r>
              <w:rPr>
                <w:bCs/>
                <w:color w:val="FF0000"/>
                <w:spacing w:val="10"/>
                <w:sz w:val="21"/>
                <w:szCs w:val="21"/>
              </w:rPr>
              <w:t xml:space="preserve"> </w:t>
            </w:r>
            <w:r>
              <w:rPr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综合部于20</w:t>
            </w:r>
            <w:r>
              <w:rPr>
                <w:bCs/>
                <w:spacing w:val="10"/>
                <w:sz w:val="21"/>
                <w:szCs w:val="21"/>
              </w:rPr>
              <w:t>20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年</w:t>
            </w:r>
            <w:r>
              <w:rPr>
                <w:bCs/>
                <w:spacing w:val="10"/>
                <w:sz w:val="21"/>
                <w:szCs w:val="21"/>
              </w:rPr>
              <w:t>4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月1</w:t>
            </w:r>
            <w:r>
              <w:rPr>
                <w:bCs/>
                <w:spacing w:val="10"/>
                <w:sz w:val="21"/>
                <w:szCs w:val="21"/>
              </w:rPr>
              <w:t>0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日针对OHS和EMS对适用的法律法规符合性进行了评价，提供了2019年合规性评价记录。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综合部提供了质量目标分解与实施表，涉及到质量环境安全目标8个，规定了分解部门，分解值与采取的措施，考核频次为每季度。</w:t>
            </w:r>
          </w:p>
          <w:p>
            <w:pPr>
              <w:pStyle w:val="2"/>
            </w:pPr>
            <w:r>
              <w:rPr>
                <w:rFonts w:hint="eastAsia"/>
              </w:rPr>
              <w:t>目标均完成。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综合部提供了环境管理方案，方案为各部门区域防火和固体废弃物，包括指标分解、负责人、实施时间和实施措施。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综合部提供了职业健康安全目标和管理方案一览表，包括目标、预计完成时间、具体措施、负责人等。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综合部提供了企业的应急准备和响应计划，详细规定了事故处理的流程等内容。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综合部提供了触电事故应急预案，编制部门为综合部，编制日期为20</w:t>
            </w:r>
            <w:r>
              <w:rPr>
                <w:rFonts w:ascii="Arial" w:hAnsi="Arial" w:cs="Arial"/>
              </w:rPr>
              <w:t>20</w:t>
            </w:r>
            <w:r>
              <w:rPr>
                <w:rFonts w:hint="eastAsia" w:ascii="Arial" w:hAnsi="Arial" w:cs="Arial"/>
              </w:rPr>
              <w:t>年</w:t>
            </w:r>
            <w:r>
              <w:rPr>
                <w:rFonts w:ascii="Arial" w:hAnsi="Arial" w:cs="Arial"/>
              </w:rPr>
              <w:t>3</w:t>
            </w:r>
            <w:r>
              <w:rPr>
                <w:rFonts w:hint="eastAsia" w:ascii="Arial" w:hAnsi="Arial" w:cs="Arial"/>
              </w:rPr>
              <w:t>月10日。提供了火灾演练记录，演练时间为20</w:t>
            </w:r>
            <w:r>
              <w:rPr>
                <w:rFonts w:ascii="Arial" w:hAnsi="Arial" w:cs="Arial"/>
              </w:rPr>
              <w:t>20.4.2</w:t>
            </w:r>
            <w:r>
              <w:rPr>
                <w:rFonts w:hint="eastAsia" w:ascii="Arial" w:hAnsi="Arial" w:cs="Arial"/>
              </w:rPr>
              <w:t>3，演练人员为公司所有人员。</w:t>
            </w:r>
          </w:p>
          <w:p>
            <w:pPr>
              <w:rPr>
                <w:rStyle w:val="14"/>
                <w:rFonts w:ascii="Arial" w:hAnsi="Arial" w:cs="Arial"/>
              </w:rPr>
            </w:pPr>
          </w:p>
          <w:p>
            <w:pPr>
              <w:widowControl/>
              <w:spacing w:line="400" w:lineRule="exact"/>
              <w:jc w:val="lef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具备二阶段审核的条件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6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2BD6A"/>
    <w:multiLevelType w:val="singleLevel"/>
    <w:tmpl w:val="7D62BD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0701FD"/>
    <w:rsid w:val="000A0AE0"/>
    <w:rsid w:val="00160CB8"/>
    <w:rsid w:val="001746DD"/>
    <w:rsid w:val="00195F4E"/>
    <w:rsid w:val="001A2294"/>
    <w:rsid w:val="001A2D7F"/>
    <w:rsid w:val="001F6E09"/>
    <w:rsid w:val="00231EEC"/>
    <w:rsid w:val="0026421B"/>
    <w:rsid w:val="00276220"/>
    <w:rsid w:val="002B1259"/>
    <w:rsid w:val="002C6853"/>
    <w:rsid w:val="002F7F21"/>
    <w:rsid w:val="003009D2"/>
    <w:rsid w:val="00323086"/>
    <w:rsid w:val="00337922"/>
    <w:rsid w:val="00340867"/>
    <w:rsid w:val="00364CC6"/>
    <w:rsid w:val="00380837"/>
    <w:rsid w:val="0039650C"/>
    <w:rsid w:val="00410914"/>
    <w:rsid w:val="00447A1D"/>
    <w:rsid w:val="004D01D7"/>
    <w:rsid w:val="005053BA"/>
    <w:rsid w:val="005262A1"/>
    <w:rsid w:val="00536930"/>
    <w:rsid w:val="0054499A"/>
    <w:rsid w:val="00550B37"/>
    <w:rsid w:val="00564E53"/>
    <w:rsid w:val="00565F5C"/>
    <w:rsid w:val="00576F3D"/>
    <w:rsid w:val="00644FE2"/>
    <w:rsid w:val="00647705"/>
    <w:rsid w:val="00652D02"/>
    <w:rsid w:val="0066389F"/>
    <w:rsid w:val="0067002F"/>
    <w:rsid w:val="0067640C"/>
    <w:rsid w:val="00684747"/>
    <w:rsid w:val="00697921"/>
    <w:rsid w:val="006A24C0"/>
    <w:rsid w:val="006A53E5"/>
    <w:rsid w:val="006E678B"/>
    <w:rsid w:val="00703DF7"/>
    <w:rsid w:val="00705E32"/>
    <w:rsid w:val="007161FC"/>
    <w:rsid w:val="00771141"/>
    <w:rsid w:val="007757F3"/>
    <w:rsid w:val="007B4185"/>
    <w:rsid w:val="007E1F32"/>
    <w:rsid w:val="007E63CD"/>
    <w:rsid w:val="007E6AEB"/>
    <w:rsid w:val="007F2191"/>
    <w:rsid w:val="008038DD"/>
    <w:rsid w:val="00857C0F"/>
    <w:rsid w:val="008973EE"/>
    <w:rsid w:val="008A1880"/>
    <w:rsid w:val="008C2232"/>
    <w:rsid w:val="008C5B7C"/>
    <w:rsid w:val="008F6209"/>
    <w:rsid w:val="009032FA"/>
    <w:rsid w:val="00906526"/>
    <w:rsid w:val="00960D4A"/>
    <w:rsid w:val="00964913"/>
    <w:rsid w:val="00971600"/>
    <w:rsid w:val="009973B4"/>
    <w:rsid w:val="009A6F40"/>
    <w:rsid w:val="009F7EED"/>
    <w:rsid w:val="00A059FF"/>
    <w:rsid w:val="00A160D6"/>
    <w:rsid w:val="00A2434D"/>
    <w:rsid w:val="00A551B2"/>
    <w:rsid w:val="00A878FB"/>
    <w:rsid w:val="00AF0AAB"/>
    <w:rsid w:val="00B4675E"/>
    <w:rsid w:val="00BA2CFB"/>
    <w:rsid w:val="00BC1010"/>
    <w:rsid w:val="00BF04F3"/>
    <w:rsid w:val="00BF597E"/>
    <w:rsid w:val="00BF7B5F"/>
    <w:rsid w:val="00C156D1"/>
    <w:rsid w:val="00C22D27"/>
    <w:rsid w:val="00C37C07"/>
    <w:rsid w:val="00C51A36"/>
    <w:rsid w:val="00C55228"/>
    <w:rsid w:val="00C64216"/>
    <w:rsid w:val="00C73738"/>
    <w:rsid w:val="00CE310C"/>
    <w:rsid w:val="00CE315A"/>
    <w:rsid w:val="00D06F59"/>
    <w:rsid w:val="00D10F63"/>
    <w:rsid w:val="00D2487A"/>
    <w:rsid w:val="00D8340F"/>
    <w:rsid w:val="00D8388C"/>
    <w:rsid w:val="00DB5C7F"/>
    <w:rsid w:val="00DE156F"/>
    <w:rsid w:val="00DE6E2D"/>
    <w:rsid w:val="00DF4D3C"/>
    <w:rsid w:val="00E05100"/>
    <w:rsid w:val="00E725E5"/>
    <w:rsid w:val="00E876C5"/>
    <w:rsid w:val="00E934E2"/>
    <w:rsid w:val="00EB0164"/>
    <w:rsid w:val="00EB6C9F"/>
    <w:rsid w:val="00ED0F62"/>
    <w:rsid w:val="00EE4C5D"/>
    <w:rsid w:val="00EE7CEA"/>
    <w:rsid w:val="00F402B8"/>
    <w:rsid w:val="00F52A4F"/>
    <w:rsid w:val="00F64A84"/>
    <w:rsid w:val="00FD19BA"/>
    <w:rsid w:val="00FE3AB1"/>
    <w:rsid w:val="00FF5CB2"/>
    <w:rsid w:val="01FC5F1A"/>
    <w:rsid w:val="0B52157F"/>
    <w:rsid w:val="0E7D7958"/>
    <w:rsid w:val="108219C2"/>
    <w:rsid w:val="330A6E3C"/>
    <w:rsid w:val="3CDE21F3"/>
    <w:rsid w:val="5DC03935"/>
    <w:rsid w:val="5EA12B9A"/>
    <w:rsid w:val="5F5F2106"/>
    <w:rsid w:val="6CD46965"/>
    <w:rsid w:val="79FB5144"/>
    <w:rsid w:val="7B7F72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qFormat/>
    <w:uiPriority w:val="0"/>
    <w:rPr>
      <w:color w:val="800080"/>
      <w:u w:val="single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info-content-text"/>
    <w:basedOn w:val="7"/>
    <w:qFormat/>
    <w:uiPriority w:val="0"/>
  </w:style>
  <w:style w:type="character" w:customStyle="1" w:styleId="15">
    <w:name w:val="info-expand-bt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1153</Characters>
  <Lines>9</Lines>
  <Paragraphs>2</Paragraphs>
  <TotalTime>223</TotalTime>
  <ScaleCrop>false</ScaleCrop>
  <LinksUpToDate>false</LinksUpToDate>
  <CharactersWithSpaces>1353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2020-08-28T02:26:34Z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