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sz w:val="36"/>
          <w:szCs w:val="36"/>
        </w:rPr>
      </w:pPr>
      <w:r>
        <w:rPr>
          <w:rFonts w:hint="eastAsia" w:ascii="隶书" w:hAnsi="宋体" w:eastAsia="隶书"/>
          <w:bCs/>
          <w:sz w:val="36"/>
          <w:szCs w:val="36"/>
        </w:rPr>
        <w:t>管理体系审核记录表</w:t>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sz w:val="24"/>
                <w:szCs w:val="24"/>
              </w:rPr>
            </w:pPr>
            <w:r>
              <w:rPr>
                <w:rFonts w:hint="eastAsia"/>
                <w:sz w:val="24"/>
                <w:szCs w:val="24"/>
              </w:rPr>
              <w:t>受审核部门：管理层  总经理：</w:t>
            </w:r>
            <w:r>
              <w:rPr>
                <w:rFonts w:hint="eastAsia" w:ascii="宋体" w:hAnsi="宋体" w:cs="宋体"/>
                <w:kern w:val="0"/>
                <w:szCs w:val="21"/>
              </w:rPr>
              <w:t>贾晓东</w:t>
            </w:r>
            <w:r>
              <w:tab/>
            </w:r>
            <w:r>
              <w:rPr>
                <w:rFonts w:hint="eastAsia"/>
              </w:rPr>
              <w:t xml:space="preserve">  管代：</w:t>
            </w:r>
            <w:r>
              <w:rPr>
                <w:rFonts w:hint="eastAsia" w:ascii="宋体" w:hAnsi="宋体" w:cs="宋体"/>
                <w:kern w:val="0"/>
                <w:szCs w:val="21"/>
              </w:rPr>
              <w:t xml:space="preserve">王鸷 </w:t>
            </w:r>
            <w:r>
              <w:rPr>
                <w:rFonts w:ascii="宋体" w:hAnsi="宋体" w:cs="宋体"/>
                <w:kern w:val="0"/>
                <w:szCs w:val="21"/>
              </w:rPr>
              <w:t xml:space="preserve">  </w:t>
            </w:r>
            <w:r>
              <w:rPr>
                <w:rFonts w:hint="eastAsia"/>
              </w:rPr>
              <w:t>陪同：王鸷</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pPr>
            <w:r>
              <w:rPr>
                <w:rFonts w:hint="eastAsia"/>
                <w:sz w:val="24"/>
                <w:szCs w:val="24"/>
              </w:rPr>
              <w:t>审核员：张鹏  王旭     审核时间： 20</w:t>
            </w:r>
            <w:r>
              <w:rPr>
                <w:sz w:val="24"/>
                <w:szCs w:val="24"/>
              </w:rPr>
              <w:t>20.</w:t>
            </w:r>
            <w:r>
              <w:rPr>
                <w:rFonts w:hint="eastAsia"/>
                <w:sz w:val="24"/>
                <w:szCs w:val="24"/>
              </w:rPr>
              <w:t>8.</w:t>
            </w:r>
            <w:r>
              <w:rPr>
                <w:sz w:val="24"/>
                <w:szCs w:val="24"/>
              </w:rPr>
              <w:t>26</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sz w:val="24"/>
                <w:szCs w:val="24"/>
              </w:rPr>
              <w:t>审核条款：</w:t>
            </w:r>
            <w:r>
              <w:rPr>
                <w:rFonts w:hint="eastAsia" w:ascii="宋体" w:hAnsi="宋体" w:cs="宋体"/>
                <w:sz w:val="20"/>
              </w:rPr>
              <w:t>QEO 4.1/4.3/4.4/5.2/6.2/9.2/9.3/7.1</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spacing w:line="400" w:lineRule="exact"/>
              <w:rPr>
                <w:szCs w:val="21"/>
              </w:rPr>
            </w:pPr>
            <w:r>
              <w:rPr>
                <w:rFonts w:hint="eastAsia"/>
                <w:szCs w:val="21"/>
              </w:rPr>
              <w:t>企业名称确认</w:t>
            </w:r>
          </w:p>
          <w:p>
            <w:pPr>
              <w:spacing w:line="400" w:lineRule="exact"/>
              <w:rPr>
                <w:szCs w:val="21"/>
              </w:rPr>
            </w:pPr>
            <w:r>
              <w:rPr>
                <w:rFonts w:hint="eastAsia"/>
                <w:szCs w:val="21"/>
              </w:rPr>
              <w:t>地址（包括注册地址、生产/经营地址）、多场所地址等</w:t>
            </w:r>
          </w:p>
          <w:p>
            <w:pPr>
              <w:spacing w:line="400" w:lineRule="exact"/>
              <w:rPr>
                <w:szCs w:val="21"/>
              </w:rPr>
            </w:pPr>
            <w:r>
              <w:rPr>
                <w:rFonts w:hint="eastAsia"/>
                <w:szCs w:val="21"/>
              </w:rPr>
              <w:t>营业执照、组织机构代码证、相关资质的有效性确认</w:t>
            </w:r>
          </w:p>
          <w:p>
            <w:pPr>
              <w:spacing w:line="400" w:lineRule="exact"/>
              <w:rPr>
                <w:szCs w:val="21"/>
              </w:rPr>
            </w:pPr>
            <w:r>
              <w:rPr>
                <w:rFonts w:hint="eastAsia"/>
                <w:szCs w:val="21"/>
              </w:rPr>
              <w:t>管理体系运行起始日</w:t>
            </w:r>
          </w:p>
          <w:p>
            <w:pPr>
              <w:spacing w:line="400" w:lineRule="exact"/>
              <w:rPr>
                <w:szCs w:val="21"/>
              </w:rPr>
            </w:pPr>
            <w:r>
              <w:rPr>
                <w:rFonts w:hint="eastAsia"/>
                <w:szCs w:val="21"/>
              </w:rPr>
              <w:t>确认组织实际与管理体系文件描述的一致性</w:t>
            </w:r>
          </w:p>
          <w:p>
            <w:pPr>
              <w:spacing w:line="400" w:lineRule="exact"/>
              <w:rPr>
                <w:szCs w:val="21"/>
              </w:rPr>
            </w:pPr>
            <w:r>
              <w:rPr>
                <w:rFonts w:hint="eastAsia"/>
                <w:szCs w:val="21"/>
              </w:rPr>
              <w:t>组织机构（如部门设置和负责人，服务过程）</w:t>
            </w:r>
          </w:p>
          <w:p>
            <w:pPr>
              <w:spacing w:line="400" w:lineRule="exact"/>
              <w:rPr>
                <w:szCs w:val="21"/>
              </w:rPr>
            </w:pPr>
            <w:r>
              <w:rPr>
                <w:rFonts w:hint="eastAsia"/>
                <w:szCs w:val="21"/>
              </w:rPr>
              <w:t>认证范围产品用途、顾客群等</w:t>
            </w: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spacing w:line="400" w:lineRule="exact"/>
              <w:rPr>
                <w:szCs w:val="21"/>
              </w:rPr>
            </w:pPr>
          </w:p>
          <w:p>
            <w:pPr>
              <w:spacing w:line="400" w:lineRule="exact"/>
              <w:rPr>
                <w:szCs w:val="21"/>
              </w:rPr>
            </w:pPr>
          </w:p>
          <w:p>
            <w:pPr>
              <w:spacing w:line="400" w:lineRule="exact"/>
              <w:rPr>
                <w:szCs w:val="21"/>
              </w:rPr>
            </w:pPr>
          </w:p>
          <w:p>
            <w:pPr>
              <w:spacing w:line="400" w:lineRule="exact"/>
              <w:rPr>
                <w:szCs w:val="21"/>
              </w:rPr>
            </w:pPr>
            <w:r>
              <w:rPr>
                <w:rFonts w:hint="eastAsia"/>
                <w:szCs w:val="21"/>
              </w:rPr>
              <w:t>相关法规</w:t>
            </w:r>
          </w:p>
          <w:p>
            <w:pPr>
              <w:spacing w:line="400" w:lineRule="exact"/>
              <w:rPr>
                <w:szCs w:val="21"/>
              </w:rPr>
            </w:pPr>
            <w:r>
              <w:rPr>
                <w:rFonts w:hint="eastAsia"/>
                <w:szCs w:val="21"/>
              </w:rPr>
              <w:t>环评报告及环评验收</w:t>
            </w:r>
          </w:p>
          <w:p>
            <w:pPr>
              <w:spacing w:line="400" w:lineRule="exact"/>
              <w:rPr>
                <w:szCs w:val="21"/>
              </w:rPr>
            </w:pPr>
            <w:r>
              <w:rPr>
                <w:rFonts w:hint="eastAsia"/>
                <w:szCs w:val="21"/>
              </w:rPr>
              <w:t>执行的排污标准（EMS）顾客及相关方投诉</w:t>
            </w:r>
          </w:p>
          <w:p>
            <w:pPr>
              <w:spacing w:line="400" w:lineRule="exact"/>
              <w:rPr>
                <w:szCs w:val="21"/>
              </w:rPr>
            </w:pPr>
          </w:p>
          <w:p>
            <w:pPr>
              <w:spacing w:line="400" w:lineRule="exact"/>
              <w:rPr>
                <w:szCs w:val="21"/>
              </w:rPr>
            </w:pPr>
          </w:p>
          <w:p>
            <w:pPr>
              <w:spacing w:line="400" w:lineRule="exact"/>
              <w:rPr>
                <w:szCs w:val="21"/>
              </w:rPr>
            </w:pPr>
          </w:p>
          <w:p>
            <w:pPr>
              <w:spacing w:line="400" w:lineRule="exact"/>
              <w:rPr>
                <w:szCs w:val="21"/>
              </w:rPr>
            </w:pPr>
            <w:r>
              <w:rPr>
                <w:rFonts w:hint="eastAsia"/>
                <w:szCs w:val="21"/>
              </w:rPr>
              <w:t>方针、目标、指标和方案情况</w:t>
            </w:r>
          </w:p>
          <w:p/>
          <w:p/>
          <w:p/>
          <w:p/>
          <w:p/>
          <w:p/>
          <w:p/>
          <w:p/>
          <w:p/>
          <w:p/>
          <w:p/>
          <w:p/>
          <w:p>
            <w:pPr>
              <w:pStyle w:val="2"/>
            </w:pPr>
          </w:p>
          <w:p>
            <w:pPr>
              <w:pStyle w:val="2"/>
            </w:pPr>
          </w:p>
          <w:p>
            <w:pPr>
              <w:pStyle w:val="2"/>
            </w:pPr>
          </w:p>
          <w:p>
            <w:pPr>
              <w:pStyle w:val="2"/>
            </w:pPr>
          </w:p>
          <w:p>
            <w:pPr>
              <w:spacing w:line="400" w:lineRule="exact"/>
              <w:rPr>
                <w:szCs w:val="21"/>
              </w:rPr>
            </w:pPr>
            <w:r>
              <w:rPr>
                <w:rFonts w:hint="eastAsia"/>
                <w:szCs w:val="21"/>
              </w:rPr>
              <w:t>合规性评价报告</w:t>
            </w:r>
          </w:p>
          <w:p>
            <w:pPr>
              <w:spacing w:line="400" w:lineRule="exact"/>
              <w:rPr>
                <w:szCs w:val="21"/>
              </w:rPr>
            </w:pPr>
            <w:r>
              <w:rPr>
                <w:rFonts w:hint="eastAsia"/>
                <w:szCs w:val="21"/>
              </w:rPr>
              <w:t>环境相关监测报告（EMS、OHS）</w:t>
            </w:r>
          </w:p>
          <w:p>
            <w:pPr>
              <w:spacing w:line="400" w:lineRule="exact"/>
              <w:rPr>
                <w:szCs w:val="21"/>
              </w:rPr>
            </w:pPr>
          </w:p>
          <w:p>
            <w:pPr>
              <w:pStyle w:val="2"/>
            </w:pPr>
          </w:p>
          <w:p>
            <w:pPr>
              <w:pStyle w:val="2"/>
            </w:pPr>
          </w:p>
          <w:p>
            <w:pPr>
              <w:spacing w:line="400" w:lineRule="exact"/>
              <w:rPr>
                <w:szCs w:val="21"/>
              </w:rPr>
            </w:pPr>
            <w:r>
              <w:rPr>
                <w:rFonts w:hint="eastAsia"/>
                <w:szCs w:val="21"/>
              </w:rPr>
              <w:t>重要环境因素（EMS）</w:t>
            </w:r>
          </w:p>
          <w:p>
            <w:pPr>
              <w:spacing w:line="400" w:lineRule="exact"/>
              <w:rPr>
                <w:szCs w:val="21"/>
              </w:rPr>
            </w:pPr>
            <w:r>
              <w:rPr>
                <w:rFonts w:hint="eastAsia"/>
                <w:szCs w:val="21"/>
              </w:rPr>
              <w:t>不可接受危险</w:t>
            </w:r>
          </w:p>
          <w:p>
            <w:pPr>
              <w:pStyle w:val="2"/>
              <w:rPr>
                <w:szCs w:val="21"/>
              </w:rPr>
            </w:pPr>
          </w:p>
          <w:p>
            <w:pPr>
              <w:pStyle w:val="2"/>
              <w:rPr>
                <w:szCs w:val="21"/>
              </w:rPr>
            </w:pPr>
          </w:p>
          <w:p>
            <w:pPr>
              <w:pStyle w:val="2"/>
              <w:rPr>
                <w:szCs w:val="21"/>
              </w:rPr>
            </w:pPr>
          </w:p>
          <w:p>
            <w:pPr>
              <w:pStyle w:val="2"/>
              <w:rPr>
                <w:szCs w:val="21"/>
              </w:rPr>
            </w:pPr>
          </w:p>
          <w:p>
            <w:pPr>
              <w:pStyle w:val="2"/>
              <w:rPr>
                <w:szCs w:val="21"/>
              </w:rPr>
            </w:pPr>
          </w:p>
          <w:p>
            <w:pPr>
              <w:pStyle w:val="2"/>
              <w:rPr>
                <w:szCs w:val="21"/>
              </w:rPr>
            </w:pPr>
          </w:p>
          <w:p>
            <w:pPr>
              <w:pStyle w:val="2"/>
              <w:rPr>
                <w:szCs w:val="21"/>
              </w:rPr>
            </w:pPr>
          </w:p>
          <w:p>
            <w:pPr>
              <w:pStyle w:val="2"/>
              <w:rPr>
                <w:szCs w:val="21"/>
              </w:rPr>
            </w:pPr>
          </w:p>
          <w:p>
            <w:pPr>
              <w:spacing w:line="400" w:lineRule="exact"/>
              <w:rPr>
                <w:szCs w:val="21"/>
              </w:rPr>
            </w:pPr>
            <w:r>
              <w:rPr>
                <w:rFonts w:hint="eastAsia"/>
                <w:szCs w:val="21"/>
              </w:rPr>
              <w:t>内审情况</w:t>
            </w:r>
          </w:p>
          <w:p>
            <w:pPr>
              <w:spacing w:line="400" w:lineRule="exact"/>
              <w:rPr>
                <w:szCs w:val="21"/>
              </w:rPr>
            </w:pPr>
          </w:p>
          <w:p>
            <w:pPr>
              <w:spacing w:line="400" w:lineRule="exact"/>
              <w:rPr>
                <w:szCs w:val="21"/>
              </w:rPr>
            </w:pPr>
          </w:p>
          <w:p>
            <w:pPr>
              <w:pStyle w:val="2"/>
              <w:rPr>
                <w:szCs w:val="21"/>
              </w:rPr>
            </w:pPr>
          </w:p>
          <w:p>
            <w:pPr>
              <w:pStyle w:val="2"/>
              <w:rPr>
                <w:szCs w:val="21"/>
              </w:rPr>
            </w:pPr>
          </w:p>
          <w:p>
            <w:pPr>
              <w:spacing w:line="400" w:lineRule="exact"/>
              <w:rPr>
                <w:szCs w:val="21"/>
              </w:rPr>
            </w:pPr>
            <w:r>
              <w:rPr>
                <w:rFonts w:hint="eastAsia"/>
                <w:szCs w:val="21"/>
              </w:rPr>
              <w:t>管理评审</w:t>
            </w:r>
          </w:p>
          <w:p>
            <w:pPr>
              <w:spacing w:line="400" w:lineRule="exact"/>
              <w:rPr>
                <w:szCs w:val="21"/>
              </w:rPr>
            </w:pPr>
          </w:p>
          <w:p>
            <w:pPr>
              <w:pStyle w:val="2"/>
            </w:pPr>
          </w:p>
          <w:p>
            <w:pPr>
              <w:pStyle w:val="2"/>
            </w:pPr>
          </w:p>
          <w:p>
            <w:pPr>
              <w:pStyle w:val="2"/>
            </w:pPr>
          </w:p>
          <w:p>
            <w:pPr>
              <w:pStyle w:val="2"/>
            </w:pPr>
          </w:p>
          <w:p>
            <w:pPr>
              <w:spacing w:line="400" w:lineRule="exact"/>
              <w:rPr>
                <w:szCs w:val="21"/>
              </w:rPr>
            </w:pPr>
            <w:r>
              <w:rPr>
                <w:rFonts w:hint="eastAsia"/>
                <w:szCs w:val="21"/>
              </w:rPr>
              <w:t>特种设备</w:t>
            </w:r>
          </w:p>
          <w:p>
            <w:pPr>
              <w:spacing w:line="400" w:lineRule="exact"/>
              <w:rPr>
                <w:szCs w:val="21"/>
              </w:rPr>
            </w:pPr>
            <w:r>
              <w:rPr>
                <w:rFonts w:hint="eastAsia"/>
                <w:szCs w:val="21"/>
              </w:rPr>
              <w:t>环保、安全设施（EMS、OHS）</w:t>
            </w:r>
          </w:p>
          <w:p>
            <w:pPr>
              <w:spacing w:line="400" w:lineRule="exact"/>
              <w:rPr>
                <w:szCs w:val="21"/>
              </w:rPr>
            </w:pPr>
            <w:r>
              <w:rPr>
                <w:rFonts w:hint="eastAsia"/>
                <w:szCs w:val="21"/>
              </w:rPr>
              <w:t>环保\安全监测设备（EMS、OHS）</w:t>
            </w:r>
          </w:p>
          <w:p>
            <w:r>
              <w:rPr>
                <w:rFonts w:hint="eastAsia"/>
              </w:rPr>
              <w:t>基础资源条件</w:t>
            </w:r>
          </w:p>
          <w:p/>
          <w:p/>
          <w:p>
            <w:pPr>
              <w:spacing w:line="400" w:lineRule="exact"/>
              <w:rPr>
                <w:szCs w:val="21"/>
              </w:rPr>
            </w:pPr>
            <w:r>
              <w:rPr>
                <w:rFonts w:hint="eastAsia"/>
                <w:szCs w:val="21"/>
              </w:rPr>
              <w:t>现场</w:t>
            </w:r>
          </w:p>
          <w:p/>
        </w:tc>
        <w:tc>
          <w:tcPr>
            <w:tcW w:w="960" w:type="dxa"/>
          </w:tcPr>
          <w:p>
            <w:r>
              <w:rPr>
                <w:rFonts w:hint="eastAsia" w:ascii="宋体" w:hAnsi="宋体" w:cs="宋体"/>
                <w:sz w:val="20"/>
              </w:rPr>
              <w:t>QEO 4.1/4.3/4.4/5.2/6.2/9.2/9.3/7.1</w:t>
            </w:r>
          </w:p>
        </w:tc>
        <w:tc>
          <w:tcPr>
            <w:tcW w:w="10004" w:type="dxa"/>
          </w:tcPr>
          <w:p>
            <w:r>
              <w:rPr>
                <w:rFonts w:hint="eastAsia" w:ascii="Arial" w:hAnsi="Arial" w:cs="Arial"/>
              </w:rPr>
              <w:t>云南欧尚邦顿科技有限公司成立于201</w:t>
            </w:r>
            <w:r>
              <w:rPr>
                <w:rFonts w:ascii="Arial" w:hAnsi="Arial" w:cs="Arial"/>
              </w:rPr>
              <w:t>0</w:t>
            </w:r>
            <w:r>
              <w:rPr>
                <w:rFonts w:hint="eastAsia" w:ascii="Arial" w:hAnsi="Arial" w:cs="Arial"/>
              </w:rPr>
              <w:t xml:space="preserve"> 年</w:t>
            </w:r>
            <w:r>
              <w:rPr>
                <w:rStyle w:val="14"/>
              </w:rPr>
              <w:t>11</w:t>
            </w:r>
            <w:r>
              <w:rPr>
                <w:rStyle w:val="14"/>
                <w:rFonts w:hint="eastAsia"/>
              </w:rPr>
              <w:t>月</w:t>
            </w:r>
            <w:r>
              <w:rPr>
                <w:rStyle w:val="14"/>
              </w:rPr>
              <w:t>09</w:t>
            </w:r>
            <w:r>
              <w:rPr>
                <w:rStyle w:val="14"/>
                <w:rFonts w:hint="eastAsia"/>
              </w:rPr>
              <w:t>日</w:t>
            </w:r>
            <w:r>
              <w:rPr>
                <w:rStyle w:val="14"/>
                <w:rFonts w:hint="eastAsia" w:ascii="Arial" w:hAnsi="Arial" w:cs="Arial"/>
              </w:rPr>
              <w:t>，营业期限：2010 年11月09日-长期，注册资金：1</w:t>
            </w:r>
            <w:r>
              <w:rPr>
                <w:rStyle w:val="14"/>
                <w:rFonts w:ascii="Arial" w:hAnsi="Arial" w:cs="Arial"/>
              </w:rPr>
              <w:t>10</w:t>
            </w:r>
            <w:r>
              <w:rPr>
                <w:rStyle w:val="14"/>
                <w:rFonts w:hint="eastAsia" w:ascii="Arial" w:hAnsi="Arial" w:cs="Arial"/>
              </w:rPr>
              <w:t>0万，企业信用代码：9</w:t>
            </w:r>
            <w:r>
              <w:rPr>
                <w:rStyle w:val="14"/>
                <w:rFonts w:ascii="Arial" w:hAnsi="Arial" w:cs="Arial"/>
              </w:rPr>
              <w:t>15301005631782753</w:t>
            </w:r>
            <w:r>
              <w:rPr>
                <w:rStyle w:val="14"/>
                <w:rFonts w:hint="eastAsia" w:ascii="Arial" w:hAnsi="Arial" w:cs="Arial"/>
              </w:rPr>
              <w:t>，注册地址：</w:t>
            </w:r>
            <w:r>
              <w:rPr>
                <w:rFonts w:hint="eastAsia" w:ascii="宋体" w:hAnsi="宋体"/>
                <w:bCs/>
                <w:szCs w:val="21"/>
              </w:rPr>
              <w:t>云南省昆明经开区信息产业基地拓翔路2</w:t>
            </w:r>
            <w:r>
              <w:rPr>
                <w:rFonts w:ascii="宋体" w:hAnsi="宋体"/>
                <w:bCs/>
                <w:szCs w:val="21"/>
              </w:rPr>
              <w:t>05</w:t>
            </w:r>
            <w:r>
              <w:rPr>
                <w:rFonts w:hint="eastAsia" w:ascii="宋体" w:hAnsi="宋体"/>
                <w:bCs/>
                <w:szCs w:val="21"/>
              </w:rPr>
              <w:t>号附3号办公楼2层1室</w:t>
            </w:r>
            <w:r>
              <w:rPr>
                <w:rStyle w:val="14"/>
                <w:rFonts w:hint="eastAsia" w:ascii="Arial" w:hAnsi="Arial" w:cs="Arial"/>
              </w:rPr>
              <w:t>，经营范围包括</w:t>
            </w:r>
            <w:r>
              <w:rPr>
                <w:rFonts w:ascii="Arial" w:hAnsi="Arial" w:cs="Arial"/>
              </w:rPr>
              <w:t>仪器仪表及配件的销售</w:t>
            </w:r>
            <w:r>
              <w:rPr>
                <w:rFonts w:hint="eastAsia" w:ascii="Arial" w:hAnsi="Arial" w:cs="Arial"/>
              </w:rPr>
              <w:t>。</w:t>
            </w:r>
          </w:p>
          <w:p>
            <w:pPr>
              <w:rPr>
                <w:rStyle w:val="14"/>
                <w:rFonts w:ascii="Arial" w:hAnsi="Arial" w:cs="Arial"/>
                <w:shd w:val="clear" w:color="auto" w:fill="FFFFFF"/>
              </w:rPr>
            </w:pPr>
            <w:r>
              <w:rPr>
                <w:rStyle w:val="14"/>
              </w:rPr>
              <w:t> </w:t>
            </w:r>
            <w:r>
              <w:rPr>
                <w:rStyle w:val="14"/>
                <w:rFonts w:hint="eastAsia" w:ascii="Arial" w:hAnsi="Arial" w:cs="Arial"/>
                <w:shd w:val="clear" w:color="auto" w:fill="FFFFFF"/>
              </w:rPr>
              <w:t>公司的主要客户群为云南的企业等；公司采用总经理负责制，层层把关，让用户真正放心</w:t>
            </w:r>
          </w:p>
          <w:p>
            <w:pPr>
              <w:spacing w:line="400" w:lineRule="exact"/>
              <w:rPr>
                <w:rStyle w:val="14"/>
                <w:rFonts w:ascii="Arial" w:hAnsi="Arial" w:cs="Arial"/>
                <w:shd w:val="clear" w:color="auto" w:fill="FFFFFF"/>
              </w:rPr>
            </w:pPr>
            <w:r>
              <w:rPr>
                <w:rStyle w:val="14"/>
                <w:rFonts w:hint="eastAsia" w:ascii="Arial" w:hAnsi="Arial" w:cs="Arial"/>
                <w:shd w:val="clear" w:color="auto" w:fill="FFFFFF"/>
              </w:rPr>
              <w:t>远程</w:t>
            </w:r>
            <w:r>
              <w:rPr>
                <w:rStyle w:val="14"/>
                <w:rFonts w:ascii="Arial" w:hAnsi="Arial" w:cs="Arial"/>
                <w:shd w:val="clear" w:color="auto" w:fill="FFFFFF"/>
              </w:rPr>
              <w:t>见到营业执照，见附件。</w:t>
            </w:r>
          </w:p>
          <w:p>
            <w:pPr>
              <w:spacing w:line="400" w:lineRule="exact"/>
              <w:rPr>
                <w:rStyle w:val="14"/>
                <w:rFonts w:ascii="Arial" w:hAnsi="Arial" w:cs="Arial"/>
                <w:shd w:val="clear" w:color="auto" w:fill="FFFFFF"/>
              </w:rPr>
            </w:pPr>
            <w:r>
              <w:rPr>
                <w:rStyle w:val="14"/>
                <w:rFonts w:hint="eastAsia" w:ascii="Arial" w:hAnsi="Arial" w:cs="Arial"/>
                <w:shd w:val="clear" w:color="auto" w:fill="FFFFFF"/>
              </w:rPr>
              <w:t>管理手册，实施、发布日期：20</w:t>
            </w:r>
            <w:r>
              <w:rPr>
                <w:rStyle w:val="14"/>
                <w:rFonts w:ascii="Arial" w:hAnsi="Arial" w:cs="Arial"/>
                <w:shd w:val="clear" w:color="auto" w:fill="FFFFFF"/>
              </w:rPr>
              <w:t>20.3.20</w:t>
            </w:r>
            <w:r>
              <w:rPr>
                <w:rStyle w:val="14"/>
                <w:rFonts w:hint="eastAsia" w:ascii="Arial" w:hAnsi="Arial" w:cs="Arial"/>
                <w:shd w:val="clear" w:color="auto" w:fill="FFFFFF"/>
              </w:rPr>
              <w:t>；远程视频查看，办公区面积约</w:t>
            </w:r>
            <w:r>
              <w:rPr>
                <w:rStyle w:val="14"/>
                <w:rFonts w:ascii="Arial" w:hAnsi="Arial" w:cs="Arial"/>
                <w:shd w:val="clear" w:color="auto" w:fill="FFFFFF"/>
              </w:rPr>
              <w:t>7</w:t>
            </w:r>
            <w:r>
              <w:rPr>
                <w:rStyle w:val="14"/>
                <w:rFonts w:hint="eastAsia" w:ascii="Arial" w:hAnsi="Arial" w:cs="Arial"/>
                <w:shd w:val="clear" w:color="auto" w:fill="FFFFFF"/>
              </w:rPr>
              <w:t>0平米，仓库区域面积约</w:t>
            </w:r>
            <w:r>
              <w:rPr>
                <w:rStyle w:val="14"/>
                <w:rFonts w:ascii="Arial" w:hAnsi="Arial" w:cs="Arial"/>
                <w:shd w:val="clear" w:color="auto" w:fill="FFFFFF"/>
              </w:rPr>
              <w:t>3</w:t>
            </w:r>
            <w:r>
              <w:rPr>
                <w:rStyle w:val="14"/>
                <w:rFonts w:hint="eastAsia" w:ascii="Arial" w:hAnsi="Arial" w:cs="Arial"/>
                <w:shd w:val="clear" w:color="auto" w:fill="FFFFFF"/>
              </w:rPr>
              <w:t>0平米。</w:t>
            </w:r>
          </w:p>
          <w:p>
            <w:pPr>
              <w:rPr>
                <w:rStyle w:val="14"/>
                <w:rFonts w:ascii="Arial" w:hAnsi="Arial" w:cs="Arial"/>
                <w:shd w:val="clear" w:color="auto" w:fill="FFFFFF"/>
              </w:rPr>
            </w:pPr>
            <w:r>
              <w:rPr>
                <w:rStyle w:val="14"/>
                <w:rFonts w:hint="eastAsia" w:ascii="Arial" w:hAnsi="Arial" w:cs="Arial"/>
                <w:shd w:val="clear" w:color="auto" w:fill="FFFFFF"/>
              </w:rPr>
              <w:t>远程视频确认范围</w:t>
            </w:r>
          </w:p>
          <w:p>
            <w:bookmarkStart w:id="0" w:name="审核范围"/>
            <w:r>
              <w:t>Q：仪器仪表及配件的销售</w:t>
            </w:r>
          </w:p>
          <w:p>
            <w:r>
              <w:t>E：仪器仪表及配件的销售及相关环境管理活动</w:t>
            </w:r>
          </w:p>
          <w:p>
            <w:pPr>
              <w:spacing w:line="440" w:lineRule="exact"/>
            </w:pPr>
            <w:r>
              <w:t>O：仪器仪表及配件的销售及相关职业健康安全管理活动</w:t>
            </w:r>
            <w:bookmarkEnd w:id="0"/>
          </w:p>
          <w:p>
            <w:pPr>
              <w:spacing w:line="440" w:lineRule="exact"/>
              <w:rPr>
                <w:rStyle w:val="14"/>
                <w:rFonts w:ascii="Arial" w:hAnsi="Arial" w:cs="Arial"/>
                <w:shd w:val="clear" w:color="auto" w:fill="FFFFFF"/>
              </w:rPr>
            </w:pPr>
            <w:r>
              <w:rPr>
                <w:rStyle w:val="14"/>
                <w:rFonts w:hint="eastAsia" w:ascii="Arial" w:hAnsi="Arial" w:cs="Arial"/>
                <w:shd w:val="clear" w:color="auto" w:fill="FFFFFF"/>
              </w:rPr>
              <w:t>不适用条款</w:t>
            </w:r>
            <w:r>
              <w:rPr>
                <w:rStyle w:val="14"/>
                <w:rFonts w:ascii="Arial" w:hAnsi="Arial" w:cs="Arial"/>
                <w:shd w:val="clear" w:color="auto" w:fill="FFFFFF"/>
              </w:rPr>
              <w:t>QMS</w:t>
            </w:r>
            <w:r>
              <w:rPr>
                <w:rStyle w:val="14"/>
                <w:rFonts w:hint="eastAsia" w:ascii="Arial" w:hAnsi="Arial" w:cs="Arial"/>
                <w:shd w:val="clear" w:color="auto" w:fill="FFFFFF"/>
              </w:rPr>
              <w:t>：8.3不适合条款的确认理由：</w:t>
            </w:r>
            <w:r>
              <w:rPr>
                <w:rFonts w:hint="eastAsia" w:ascii="Arial" w:hAnsi="Arial" w:cs="Arial"/>
                <w:shd w:val="clear" w:color="auto" w:fill="FFFFFF"/>
              </w:rPr>
              <w:t>根据本公司产品特点，本公司仪器仪表及配件的销售过程不涉及设计开发， 8.3条款不适用，不影响体系运行的实施。</w:t>
            </w:r>
            <w:r>
              <w:rPr>
                <w:rStyle w:val="14"/>
                <w:rFonts w:hint="eastAsia" w:ascii="Arial" w:hAnsi="Arial" w:cs="Arial"/>
                <w:shd w:val="clear" w:color="auto" w:fill="FFFFFF"/>
              </w:rPr>
              <w:t>。不适用8.3条款不影响本公司提供满足客户要求和适用法律法规要求的产品能力或责任的要求。</w:t>
            </w:r>
          </w:p>
          <w:p>
            <w:pPr>
              <w:pStyle w:val="2"/>
            </w:pPr>
          </w:p>
          <w:p>
            <w:pPr>
              <w:pStyle w:val="2"/>
            </w:pPr>
            <w:r>
              <w:rPr>
                <w:rFonts w:hint="eastAsia"/>
              </w:rPr>
              <w:t>体系覆盖人数</w:t>
            </w:r>
            <w:r>
              <w:t>7</w:t>
            </w:r>
            <w:r>
              <w:rPr>
                <w:rFonts w:hint="eastAsia"/>
              </w:rPr>
              <w:t>人，经确认无误。</w:t>
            </w:r>
          </w:p>
          <w:p>
            <w:pPr>
              <w:pStyle w:val="2"/>
            </w:pPr>
          </w:p>
          <w:p>
            <w:pPr>
              <w:pStyle w:val="2"/>
              <w:numPr>
                <w:ilvl w:val="0"/>
                <w:numId w:val="1"/>
              </w:numPr>
              <w:tabs>
                <w:tab w:val="clear" w:pos="312"/>
              </w:tabs>
            </w:pPr>
            <w:r>
              <w:rPr>
                <w:rFonts w:hint="eastAsia"/>
              </w:rPr>
              <w:t>管理手册</w:t>
            </w:r>
            <w:r>
              <w:rPr>
                <w:rFonts w:hint="eastAsia"/>
                <w:b/>
                <w:lang w:val="zh-CN"/>
              </w:rPr>
              <w:t>OSBD</w:t>
            </w:r>
            <w:r>
              <w:rPr>
                <w:b/>
                <w:lang w:val="zh-CN"/>
              </w:rPr>
              <w:t>-SC</w:t>
            </w:r>
            <w:r>
              <w:rPr>
                <w:rFonts w:hint="eastAsia"/>
                <w:b/>
                <w:lang w:val="zh-CN"/>
              </w:rPr>
              <w:t>-</w:t>
            </w:r>
            <w:r>
              <w:rPr>
                <w:rFonts w:hint="eastAsia"/>
                <w:b/>
              </w:rPr>
              <w:t>A/0-</w:t>
            </w:r>
            <w:r>
              <w:rPr>
                <w:rFonts w:hint="eastAsia"/>
                <w:b/>
                <w:lang w:val="zh-CN"/>
              </w:rPr>
              <w:t>20</w:t>
            </w:r>
            <w:r>
              <w:rPr>
                <w:rFonts w:hint="eastAsia"/>
                <w:b/>
              </w:rPr>
              <w:t>20</w:t>
            </w:r>
            <w:r>
              <w:rPr>
                <w:rFonts w:hint="eastAsia"/>
                <w:b/>
                <w:lang w:val="zh-CN"/>
              </w:rPr>
              <w:t xml:space="preserve"> </w:t>
            </w:r>
            <w:r>
              <w:rPr>
                <w:rFonts w:hint="eastAsia"/>
              </w:rPr>
              <w:t xml:space="preserve"> A/</w:t>
            </w:r>
            <w:r>
              <w:t>0</w:t>
            </w:r>
            <w:r>
              <w:rPr>
                <w:rFonts w:hint="eastAsia"/>
              </w:rPr>
              <w:t>版，发布时间：20</w:t>
            </w:r>
            <w:r>
              <w:t>20</w:t>
            </w:r>
            <w:r>
              <w:rPr>
                <w:rFonts w:hint="eastAsia"/>
              </w:rPr>
              <w:t>年</w:t>
            </w:r>
            <w:r>
              <w:t>03</w:t>
            </w:r>
            <w:r>
              <w:rPr>
                <w:rFonts w:hint="eastAsia"/>
              </w:rPr>
              <w:t>月10日实施时间：20</w:t>
            </w:r>
            <w:r>
              <w:t>20</w:t>
            </w:r>
            <w:r>
              <w:rPr>
                <w:rFonts w:hint="eastAsia"/>
              </w:rPr>
              <w:t>年</w:t>
            </w:r>
            <w:r>
              <w:t>03</w:t>
            </w:r>
            <w:r>
              <w:rPr>
                <w:rFonts w:hint="eastAsia"/>
              </w:rPr>
              <w:t>月10日</w:t>
            </w:r>
          </w:p>
          <w:p>
            <w:pPr>
              <w:pStyle w:val="2"/>
              <w:rPr>
                <w:b/>
              </w:rPr>
            </w:pPr>
            <w:r>
              <w:rPr>
                <w:rFonts w:hint="eastAsia"/>
              </w:rPr>
              <w:t>2.程序文件</w:t>
            </w:r>
            <w:r>
              <w:rPr>
                <w:rFonts w:hint="eastAsia"/>
                <w:b/>
              </w:rPr>
              <w:t xml:space="preserve">OSBD </w:t>
            </w:r>
            <w:r>
              <w:rPr>
                <w:b/>
              </w:rPr>
              <w:t>-</w:t>
            </w:r>
            <w:r>
              <w:rPr>
                <w:rFonts w:hint="eastAsia"/>
                <w:b/>
              </w:rPr>
              <w:t>CX -A/0-2020</w:t>
            </w:r>
            <w:r>
              <w:rPr>
                <w:b/>
              </w:rPr>
              <w:t xml:space="preserve">  </w:t>
            </w:r>
            <w:r>
              <w:rPr>
                <w:rFonts w:hint="eastAsia"/>
              </w:rPr>
              <w:t>A</w:t>
            </w:r>
            <w:r>
              <w:t>/0</w:t>
            </w:r>
            <w:r>
              <w:rPr>
                <w:rFonts w:hint="eastAsia"/>
              </w:rPr>
              <w:t>版含2</w:t>
            </w:r>
            <w:r>
              <w:t>3</w:t>
            </w:r>
            <w:r>
              <w:rPr>
                <w:rFonts w:hint="eastAsia"/>
              </w:rPr>
              <w:t>个文件，包括标准要求的形成文件的信息。</w:t>
            </w:r>
          </w:p>
          <w:p>
            <w:pPr>
              <w:pStyle w:val="2"/>
            </w:pPr>
            <w:r>
              <w:rPr>
                <w:rFonts w:hint="eastAsia"/>
              </w:rPr>
              <w:t>3.管理制度汇编：质量管理制度、销售管理制度等10个</w:t>
            </w:r>
          </w:p>
          <w:p>
            <w:pPr>
              <w:pStyle w:val="2"/>
            </w:pPr>
          </w:p>
          <w:p>
            <w:pPr>
              <w:spacing w:line="360" w:lineRule="auto"/>
              <w:rPr>
                <w:rStyle w:val="14"/>
                <w:rFonts w:ascii="Arial" w:hAnsi="Arial" w:cs="Arial"/>
                <w:shd w:val="clear" w:color="auto" w:fill="FFFFFF"/>
              </w:rPr>
            </w:pPr>
            <w:r>
              <w:rPr>
                <w:rStyle w:val="14"/>
                <w:rFonts w:hint="eastAsia" w:ascii="Arial" w:hAnsi="Arial" w:cs="Arial"/>
                <w:shd w:val="clear" w:color="auto" w:fill="FFFFFF"/>
              </w:rPr>
              <w:t>组织机构：销售部、综合部。</w:t>
            </w:r>
          </w:p>
          <w:p>
            <w:pPr>
              <w:rPr>
                <w:rStyle w:val="14"/>
                <w:rFonts w:ascii="Arial" w:hAnsi="Arial" w:cs="Arial"/>
                <w:shd w:val="clear" w:color="auto" w:fill="FFFFFF"/>
              </w:rPr>
            </w:pPr>
            <w:r>
              <w:rPr>
                <w:rStyle w:val="14"/>
                <w:rFonts w:hint="eastAsia" w:ascii="Arial" w:hAnsi="Arial" w:cs="Arial"/>
                <w:shd w:val="clear" w:color="auto" w:fill="FFFFFF"/>
              </w:rPr>
              <w:t>实现流程为：</w:t>
            </w:r>
          </w:p>
          <w:p>
            <w:pPr>
              <w:tabs>
                <w:tab w:val="left" w:pos="1950"/>
              </w:tabs>
              <w:rPr>
                <w:rFonts w:ascii="Arial" w:hAnsi="Arial" w:cs="Arial"/>
                <w:shd w:val="clear" w:color="auto" w:fill="FFFFFF"/>
              </w:rPr>
            </w:pPr>
            <w:r>
              <w:rPr>
                <w:rFonts w:hint="eastAsia" w:ascii="Arial" w:hAnsi="Arial" w:cs="Arial"/>
                <w:shd w:val="clear" w:color="auto" w:fill="FFFFFF"/>
              </w:rPr>
              <w:t>产品零售服务实现流程</w:t>
            </w:r>
          </w:p>
          <w:p>
            <w:pPr>
              <w:tabs>
                <w:tab w:val="left" w:pos="1950"/>
              </w:tabs>
              <w:rPr>
                <w:rFonts w:ascii="Arial" w:hAnsi="Arial" w:cs="Arial"/>
                <w:shd w:val="clear" w:color="auto" w:fill="FFFFFF"/>
              </w:rPr>
            </w:pPr>
            <w:r>
              <w:rPr>
                <w:rFonts w:hint="eastAsia" w:ascii="Arial" w:hAnsi="Arial" w:cs="Arial"/>
                <w:b/>
                <w:shd w:val="clear" w:color="auto" w:fill="FFFFFF"/>
              </w:rPr>
              <w:t>客户接触----合同评审----签订合同-----客户付款------入帐------采购-----客户提货-----验收</w:t>
            </w:r>
          </w:p>
          <w:p>
            <w:pPr>
              <w:pStyle w:val="2"/>
            </w:pPr>
          </w:p>
          <w:p>
            <w:pPr>
              <w:pStyle w:val="2"/>
            </w:pPr>
            <w:r>
              <w:rPr>
                <w:rFonts w:hint="eastAsia"/>
              </w:rPr>
              <w:t>公司无外包过程</w:t>
            </w:r>
          </w:p>
          <w:p>
            <w:pPr>
              <w:pStyle w:val="2"/>
            </w:pPr>
          </w:p>
          <w:p>
            <w:pPr>
              <w:pStyle w:val="2"/>
            </w:pPr>
          </w:p>
          <w:p>
            <w:pPr>
              <w:pStyle w:val="2"/>
            </w:pPr>
          </w:p>
          <w:p>
            <w:pPr>
              <w:pStyle w:val="2"/>
            </w:pPr>
          </w:p>
          <w:p>
            <w:pPr>
              <w:pStyle w:val="5"/>
              <w:pBdr>
                <w:bottom w:val="none" w:color="auto" w:sz="0" w:space="0"/>
              </w:pBdr>
              <w:tabs>
                <w:tab w:val="center" w:pos="5737"/>
                <w:tab w:val="clear" w:pos="4153"/>
              </w:tabs>
              <w:jc w:val="left"/>
              <w:rPr>
                <w:rStyle w:val="14"/>
                <w:rFonts w:ascii="Arial" w:hAnsi="Arial" w:cs="Arial"/>
                <w:sz w:val="21"/>
                <w:szCs w:val="20"/>
                <w:shd w:val="clear" w:color="auto" w:fill="FFFFFF"/>
              </w:rPr>
            </w:pPr>
            <w:r>
              <w:rPr>
                <w:rStyle w:val="14"/>
                <w:rFonts w:hint="eastAsia" w:ascii="Arial" w:hAnsi="Arial" w:cs="Arial"/>
                <w:sz w:val="21"/>
                <w:szCs w:val="20"/>
                <w:shd w:val="clear" w:color="auto" w:fill="FFFFFF"/>
              </w:rPr>
              <w:t>提供了环境及职业健康安全的法律、法规和其他要求清单</w:t>
            </w:r>
          </w:p>
          <w:p>
            <w:pPr>
              <w:pStyle w:val="5"/>
              <w:pBdr>
                <w:bottom w:val="none" w:color="auto" w:sz="0" w:space="0"/>
              </w:pBdr>
              <w:tabs>
                <w:tab w:val="center" w:pos="5737"/>
                <w:tab w:val="clear" w:pos="4153"/>
              </w:tabs>
              <w:jc w:val="left"/>
              <w:rPr>
                <w:rStyle w:val="14"/>
                <w:rFonts w:ascii="Arial" w:hAnsi="Arial" w:cs="Arial"/>
                <w:szCs w:val="20"/>
                <w:shd w:val="clear" w:color="auto" w:fill="FFFFFF"/>
              </w:rPr>
            </w:pPr>
          </w:p>
          <w:p>
            <w:pPr>
              <w:pStyle w:val="5"/>
              <w:pBdr>
                <w:bottom w:val="none" w:color="auto" w:sz="0" w:space="0"/>
              </w:pBdr>
              <w:tabs>
                <w:tab w:val="center" w:pos="5737"/>
                <w:tab w:val="clear" w:pos="4153"/>
              </w:tabs>
              <w:jc w:val="left"/>
              <w:rPr>
                <w:rStyle w:val="14"/>
                <w:rFonts w:ascii="Arial" w:hAnsi="Arial" w:cs="Arial"/>
                <w:szCs w:val="20"/>
                <w:shd w:val="clear" w:color="auto" w:fill="FFFFFF"/>
              </w:rPr>
            </w:pPr>
          </w:p>
          <w:p>
            <w:pPr>
              <w:rPr>
                <w:rStyle w:val="14"/>
                <w:rFonts w:ascii="Arial" w:hAnsi="Arial" w:cs="Arial"/>
                <w:shd w:val="clear" w:color="auto" w:fill="FFFFFF"/>
              </w:rPr>
            </w:pPr>
            <w:r>
              <w:rPr>
                <w:rStyle w:val="14"/>
                <w:rFonts w:hint="eastAsia" w:ascii="Arial" w:hAnsi="Arial" w:cs="Arial"/>
                <w:shd w:val="clear" w:color="auto" w:fill="FFFFFF"/>
              </w:rPr>
              <w:t>提供《适用的法律法规清单》、提供了《外来文件情况清单》，外来文件清单中，提供与“</w:t>
            </w:r>
            <w:r>
              <w:rPr>
                <w:rFonts w:hint="eastAsia"/>
              </w:rPr>
              <w:t>仪器仪表及配件</w:t>
            </w:r>
            <w:r>
              <w:t>的销售</w:t>
            </w:r>
            <w:r>
              <w:rPr>
                <w:rStyle w:val="14"/>
                <w:rFonts w:hint="eastAsia" w:ascii="Arial" w:hAnsi="Arial" w:cs="Arial"/>
                <w:shd w:val="clear" w:color="auto" w:fill="FFFFFF"/>
              </w:rPr>
              <w:t>”相关的标准</w:t>
            </w:r>
          </w:p>
          <w:p>
            <w:pPr>
              <w:rPr>
                <w:rStyle w:val="14"/>
                <w:rFonts w:ascii="Arial" w:hAnsi="Arial" w:cs="Arial"/>
                <w:shd w:val="clear" w:color="auto" w:fill="FFFFFF"/>
              </w:rPr>
            </w:pPr>
            <w:r>
              <w:rPr>
                <w:rStyle w:val="14"/>
                <w:rFonts w:hint="eastAsia" w:ascii="Arial" w:hAnsi="Arial" w:cs="Arial"/>
                <w:shd w:val="clear" w:color="auto" w:fill="FFFFFF"/>
              </w:rPr>
              <w:t>不需要环评报告。</w:t>
            </w:r>
          </w:p>
          <w:p>
            <w:pPr>
              <w:rPr>
                <w:rStyle w:val="14"/>
                <w:rFonts w:ascii="Arial" w:hAnsi="Arial" w:cs="Arial"/>
                <w:shd w:val="clear" w:color="auto" w:fill="FFFFFF"/>
              </w:rPr>
            </w:pPr>
            <w:r>
              <w:rPr>
                <w:rStyle w:val="14"/>
                <w:rFonts w:hint="eastAsia" w:ascii="Arial" w:hAnsi="Arial" w:cs="Arial"/>
                <w:shd w:val="clear" w:color="auto" w:fill="FFFFFF"/>
              </w:rPr>
              <w:t>相关方投诉情况：无。</w:t>
            </w:r>
          </w:p>
          <w:p>
            <w:pPr>
              <w:pStyle w:val="5"/>
              <w:pBdr>
                <w:bottom w:val="none" w:color="auto" w:sz="0" w:space="0"/>
              </w:pBdr>
              <w:tabs>
                <w:tab w:val="center" w:pos="5737"/>
                <w:tab w:val="clear" w:pos="4153"/>
              </w:tabs>
              <w:jc w:val="left"/>
              <w:rPr>
                <w:rStyle w:val="14"/>
                <w:rFonts w:ascii="Arial" w:hAnsi="Arial" w:cs="Arial"/>
                <w:sz w:val="21"/>
                <w:szCs w:val="20"/>
                <w:shd w:val="clear" w:color="auto" w:fill="FFFFFF"/>
              </w:rPr>
            </w:pPr>
          </w:p>
          <w:p>
            <w:pPr>
              <w:pStyle w:val="5"/>
              <w:pBdr>
                <w:bottom w:val="none" w:color="auto" w:sz="0" w:space="0"/>
              </w:pBdr>
              <w:tabs>
                <w:tab w:val="center" w:pos="5737"/>
                <w:tab w:val="clear" w:pos="4153"/>
              </w:tabs>
              <w:jc w:val="left"/>
              <w:rPr>
                <w:rStyle w:val="14"/>
                <w:rFonts w:ascii="Arial" w:hAnsi="Arial" w:cs="Arial"/>
                <w:sz w:val="21"/>
                <w:szCs w:val="20"/>
                <w:shd w:val="clear" w:color="auto" w:fill="FFFFFF"/>
              </w:rPr>
            </w:pPr>
          </w:p>
          <w:p>
            <w:pPr>
              <w:pStyle w:val="5"/>
              <w:pBdr>
                <w:bottom w:val="none" w:color="auto" w:sz="0" w:space="0"/>
              </w:pBdr>
              <w:tabs>
                <w:tab w:val="center" w:pos="5737"/>
                <w:tab w:val="clear" w:pos="4153"/>
              </w:tabs>
              <w:jc w:val="left"/>
              <w:rPr>
                <w:rStyle w:val="14"/>
                <w:rFonts w:ascii="Arial" w:hAnsi="Arial" w:cs="Arial"/>
                <w:sz w:val="21"/>
                <w:szCs w:val="20"/>
                <w:shd w:val="clear" w:color="auto" w:fill="FFFFFF"/>
              </w:rPr>
            </w:pPr>
          </w:p>
          <w:p>
            <w:pPr>
              <w:spacing w:line="440" w:lineRule="exact"/>
              <w:rPr>
                <w:rStyle w:val="14"/>
                <w:rFonts w:ascii="Arial" w:hAnsi="Arial" w:cs="Arial"/>
                <w:shd w:val="clear" w:color="auto" w:fill="FFFFFF"/>
              </w:rPr>
            </w:pPr>
          </w:p>
          <w:p>
            <w:pPr>
              <w:spacing w:line="440" w:lineRule="exact"/>
              <w:rPr>
                <w:rStyle w:val="14"/>
                <w:rFonts w:ascii="Arial" w:hAnsi="Arial" w:cs="Arial"/>
                <w:shd w:val="clear" w:color="auto" w:fill="FFFFFF"/>
              </w:rPr>
            </w:pPr>
            <w:r>
              <w:rPr>
                <w:rStyle w:val="14"/>
                <w:rFonts w:hint="eastAsia" w:ascii="Arial" w:hAnsi="Arial" w:cs="Arial"/>
                <w:shd w:val="clear" w:color="auto" w:fill="FFFFFF"/>
              </w:rPr>
              <w:t>公司的质量、环境和职业健康安全的方针：</w:t>
            </w:r>
          </w:p>
          <w:p>
            <w:pPr>
              <w:spacing w:line="440" w:lineRule="exact"/>
              <w:rPr>
                <w:rStyle w:val="14"/>
                <w:rFonts w:ascii="Arial" w:hAnsi="Arial" w:cs="Arial"/>
                <w:shd w:val="clear" w:color="auto" w:fill="FFFFFF"/>
              </w:rPr>
            </w:pPr>
            <w:r>
              <w:rPr>
                <w:rStyle w:val="14"/>
                <w:rFonts w:hint="eastAsia" w:ascii="Arial" w:hAnsi="Arial" w:cs="Arial"/>
                <w:shd w:val="clear" w:color="auto" w:fill="FFFFFF"/>
              </w:rPr>
              <w:t>管理方针是：</w:t>
            </w:r>
          </w:p>
          <w:p>
            <w:pPr>
              <w:autoSpaceDE w:val="0"/>
              <w:autoSpaceDN w:val="0"/>
              <w:adjustRightInd w:val="0"/>
              <w:spacing w:line="360" w:lineRule="auto"/>
              <w:ind w:left="578" w:leftChars="275" w:firstLine="102" w:firstLineChars="49"/>
              <w:rPr>
                <w:rFonts w:ascii="Arial" w:hAnsi="Arial" w:cs="Arial"/>
                <w:shd w:val="clear" w:color="auto" w:fill="FFFFFF"/>
              </w:rPr>
            </w:pPr>
            <w:r>
              <w:rPr>
                <w:rFonts w:hint="eastAsia" w:ascii="Arial" w:hAnsi="Arial" w:cs="Arial"/>
                <w:shd w:val="clear" w:color="auto" w:fill="FFFFFF"/>
              </w:rPr>
              <w:t>守法诚信追求质量，预防污染保护环境；</w:t>
            </w:r>
          </w:p>
          <w:p>
            <w:pPr>
              <w:autoSpaceDE w:val="0"/>
              <w:autoSpaceDN w:val="0"/>
              <w:adjustRightInd w:val="0"/>
              <w:spacing w:line="360" w:lineRule="auto"/>
              <w:ind w:left="578" w:leftChars="275" w:firstLine="102" w:firstLineChars="49"/>
              <w:rPr>
                <w:rFonts w:ascii="Arial" w:hAnsi="Arial" w:cs="Arial"/>
                <w:shd w:val="clear" w:color="auto" w:fill="FFFFFF"/>
              </w:rPr>
            </w:pPr>
            <w:r>
              <w:rPr>
                <w:rFonts w:hint="eastAsia" w:ascii="Arial" w:hAnsi="Arial" w:cs="Arial"/>
                <w:shd w:val="clear" w:color="auto" w:fill="FFFFFF"/>
              </w:rPr>
              <w:t>关爱员工健康安全，持续改进追求卓越。</w:t>
            </w:r>
          </w:p>
          <w:p>
            <w:pPr>
              <w:pStyle w:val="5"/>
              <w:pBdr>
                <w:bottom w:val="none" w:color="auto" w:sz="0" w:space="0"/>
              </w:pBdr>
              <w:tabs>
                <w:tab w:val="center" w:pos="5737"/>
                <w:tab w:val="clear" w:pos="4153"/>
              </w:tabs>
              <w:jc w:val="left"/>
              <w:rPr>
                <w:rStyle w:val="14"/>
                <w:rFonts w:ascii="Arial" w:hAnsi="Arial" w:cs="Arial"/>
                <w:sz w:val="21"/>
                <w:szCs w:val="20"/>
                <w:shd w:val="clear" w:color="auto" w:fill="FFFFFF"/>
              </w:rPr>
            </w:pPr>
            <w:r>
              <w:rPr>
                <w:rStyle w:val="14"/>
                <w:rFonts w:hint="eastAsia" w:ascii="Arial" w:hAnsi="Arial" w:cs="Arial"/>
                <w:sz w:val="21"/>
                <w:szCs w:val="20"/>
                <w:shd w:val="clear" w:color="auto" w:fill="FFFFFF"/>
              </w:rPr>
              <w:t>制定了本公司的质量、环境和安全的目标为：</w:t>
            </w:r>
          </w:p>
          <w:p>
            <w:pPr>
              <w:pStyle w:val="5"/>
              <w:pBdr>
                <w:bottom w:val="none" w:color="auto" w:sz="0" w:space="0"/>
              </w:pBdr>
              <w:tabs>
                <w:tab w:val="center" w:pos="5737"/>
                <w:tab w:val="clear" w:pos="4153"/>
              </w:tabs>
              <w:jc w:val="left"/>
              <w:rPr>
                <w:rStyle w:val="14"/>
                <w:rFonts w:ascii="Arial" w:hAnsi="Arial" w:cs="Arial"/>
                <w:sz w:val="21"/>
                <w:szCs w:val="20"/>
                <w:shd w:val="clear" w:color="auto" w:fill="FFFFFF"/>
              </w:rPr>
            </w:pPr>
          </w:p>
          <w:p>
            <w:pPr>
              <w:ind w:firstLine="1260" w:firstLineChars="600"/>
              <w:rPr>
                <w:rFonts w:hAnsi="宋体" w:cs="宋体"/>
                <w:kern w:val="0"/>
              </w:rPr>
            </w:pPr>
            <w:r>
              <w:rPr>
                <w:rFonts w:hint="eastAsia" w:hAnsi="宋体" w:cs="宋体"/>
                <w:kern w:val="0"/>
              </w:rPr>
              <w:t>1）销售产品合格率98%；</w:t>
            </w:r>
          </w:p>
          <w:p>
            <w:pPr>
              <w:ind w:firstLine="1260" w:firstLineChars="600"/>
              <w:rPr>
                <w:rFonts w:hAnsi="宋体" w:cs="宋体"/>
                <w:kern w:val="0"/>
              </w:rPr>
            </w:pPr>
            <w:r>
              <w:rPr>
                <w:rFonts w:hint="eastAsia" w:hAnsi="宋体" w:cs="宋体"/>
                <w:kern w:val="0"/>
              </w:rPr>
              <w:t>2）产品交付及时率98%；</w:t>
            </w:r>
          </w:p>
          <w:p>
            <w:pPr>
              <w:ind w:firstLine="1260" w:firstLineChars="600"/>
              <w:rPr>
                <w:rFonts w:hAnsi="宋体" w:cs="宋体"/>
                <w:kern w:val="0"/>
              </w:rPr>
            </w:pPr>
            <w:r>
              <w:rPr>
                <w:rFonts w:hint="eastAsia" w:hAnsi="宋体" w:cs="宋体"/>
                <w:kern w:val="0"/>
              </w:rPr>
              <w:t>3）合同评审率100%；</w:t>
            </w:r>
          </w:p>
          <w:p>
            <w:pPr>
              <w:ind w:firstLine="1260" w:firstLineChars="600"/>
              <w:rPr>
                <w:rFonts w:hAnsi="宋体" w:cs="宋体"/>
                <w:kern w:val="0"/>
              </w:rPr>
            </w:pPr>
            <w:r>
              <w:rPr>
                <w:rFonts w:hint="eastAsia" w:hAnsi="宋体" w:cs="宋体"/>
                <w:kern w:val="0"/>
              </w:rPr>
              <w:t>4）顾客满意率98%以上</w:t>
            </w:r>
          </w:p>
          <w:p>
            <w:pPr>
              <w:ind w:firstLine="1260" w:firstLineChars="600"/>
              <w:rPr>
                <w:rFonts w:hAnsi="宋体" w:cs="宋体"/>
                <w:kern w:val="0"/>
              </w:rPr>
            </w:pPr>
            <w:r>
              <w:rPr>
                <w:rFonts w:hint="eastAsia" w:hAnsi="宋体" w:cs="宋体"/>
                <w:kern w:val="0"/>
              </w:rPr>
              <w:t>5)</w:t>
            </w:r>
            <w:r>
              <w:rPr>
                <w:rFonts w:hAnsi="宋体" w:cs="宋体"/>
                <w:kern w:val="0"/>
              </w:rPr>
              <w:t xml:space="preserve"> </w:t>
            </w:r>
            <w:r>
              <w:rPr>
                <w:rFonts w:hint="eastAsia" w:hAnsi="宋体" w:cs="宋体"/>
                <w:kern w:val="0"/>
              </w:rPr>
              <w:t>固体废弃物100%分类，合理处理；</w:t>
            </w:r>
          </w:p>
          <w:p>
            <w:pPr>
              <w:ind w:firstLine="1260" w:firstLineChars="600"/>
              <w:rPr>
                <w:rFonts w:hAnsi="宋体" w:cs="宋体"/>
                <w:kern w:val="0"/>
              </w:rPr>
            </w:pPr>
            <w:r>
              <w:rPr>
                <w:rFonts w:hint="eastAsia" w:hAnsi="宋体" w:cs="宋体"/>
                <w:kern w:val="0"/>
              </w:rPr>
              <w:t>6）环境污染事故发生率为零</w:t>
            </w:r>
          </w:p>
          <w:p>
            <w:pPr>
              <w:ind w:firstLine="1260" w:firstLineChars="600"/>
              <w:rPr>
                <w:rFonts w:hAnsi="宋体" w:cs="宋体"/>
                <w:kern w:val="0"/>
              </w:rPr>
            </w:pPr>
            <w:r>
              <w:rPr>
                <w:rFonts w:hint="eastAsia" w:hAnsi="宋体" w:cs="宋体"/>
                <w:kern w:val="0"/>
              </w:rPr>
              <w:t xml:space="preserve">7）各类重伤以上事故发生率为零； </w:t>
            </w:r>
          </w:p>
          <w:p>
            <w:pPr>
              <w:ind w:firstLine="1260" w:firstLineChars="600"/>
              <w:rPr>
                <w:rFonts w:hAnsi="宋体" w:cs="宋体"/>
                <w:kern w:val="0"/>
              </w:rPr>
            </w:pPr>
            <w:r>
              <w:rPr>
                <w:rFonts w:hint="eastAsia" w:hAnsi="宋体" w:cs="宋体"/>
                <w:kern w:val="0"/>
              </w:rPr>
              <w:t>8）火灾事故发生率为零。</w:t>
            </w:r>
          </w:p>
          <w:p>
            <w:pPr>
              <w:autoSpaceDE w:val="0"/>
              <w:autoSpaceDN w:val="0"/>
              <w:adjustRightInd w:val="0"/>
              <w:ind w:firstLine="1260" w:firstLineChars="600"/>
              <w:rPr>
                <w:rFonts w:hAnsi="宋体" w:cs="宋体"/>
                <w:kern w:val="0"/>
              </w:rPr>
            </w:pPr>
          </w:p>
          <w:p>
            <w:pPr>
              <w:pStyle w:val="2"/>
              <w:rPr>
                <w:rStyle w:val="14"/>
                <w:rFonts w:ascii="Arial" w:hAnsi="Arial" w:cs="Arial"/>
                <w:bCs w:val="0"/>
                <w:shd w:val="clear" w:color="auto" w:fill="FFFFFF"/>
              </w:rPr>
            </w:pPr>
          </w:p>
          <w:p>
            <w:pPr>
              <w:rPr>
                <w:rStyle w:val="14"/>
                <w:rFonts w:ascii="Arial" w:hAnsi="Arial" w:cs="Arial"/>
                <w:shd w:val="clear" w:color="auto" w:fill="FFFFFF"/>
              </w:rPr>
            </w:pPr>
          </w:p>
          <w:p>
            <w:pPr>
              <w:pStyle w:val="5"/>
              <w:pBdr>
                <w:bottom w:val="none" w:color="auto" w:sz="0" w:space="0"/>
              </w:pBdr>
              <w:tabs>
                <w:tab w:val="center" w:pos="5737"/>
                <w:tab w:val="clear" w:pos="4153"/>
              </w:tabs>
              <w:jc w:val="left"/>
              <w:rPr>
                <w:rStyle w:val="14"/>
                <w:rFonts w:ascii="Arial" w:hAnsi="Arial" w:cs="Arial"/>
                <w:sz w:val="21"/>
                <w:szCs w:val="20"/>
                <w:shd w:val="clear" w:color="auto" w:fill="FFFFFF"/>
              </w:rPr>
            </w:pPr>
          </w:p>
          <w:p>
            <w:pPr>
              <w:pStyle w:val="5"/>
              <w:pBdr>
                <w:bottom w:val="none" w:color="auto" w:sz="0" w:space="0"/>
              </w:pBdr>
              <w:tabs>
                <w:tab w:val="center" w:pos="5737"/>
                <w:tab w:val="clear" w:pos="4153"/>
              </w:tabs>
              <w:jc w:val="left"/>
              <w:rPr>
                <w:rStyle w:val="14"/>
                <w:rFonts w:ascii="Arial" w:hAnsi="Arial" w:cs="Arial"/>
                <w:sz w:val="21"/>
                <w:szCs w:val="20"/>
                <w:shd w:val="clear" w:color="auto" w:fill="FFFFFF"/>
              </w:rPr>
            </w:pPr>
            <w:r>
              <w:rPr>
                <w:rStyle w:val="14"/>
                <w:rFonts w:hint="eastAsia" w:ascii="Arial" w:hAnsi="Arial" w:cs="Arial"/>
                <w:sz w:val="21"/>
                <w:szCs w:val="20"/>
                <w:shd w:val="clear" w:color="auto" w:fill="FFFFFF"/>
              </w:rPr>
              <w:t>20</w:t>
            </w:r>
            <w:r>
              <w:rPr>
                <w:rStyle w:val="14"/>
                <w:rFonts w:ascii="Arial" w:hAnsi="Arial" w:cs="Arial"/>
                <w:sz w:val="21"/>
                <w:szCs w:val="20"/>
                <w:shd w:val="clear" w:color="auto" w:fill="FFFFFF"/>
              </w:rPr>
              <w:t>10</w:t>
            </w:r>
            <w:r>
              <w:rPr>
                <w:rStyle w:val="14"/>
                <w:rFonts w:hint="eastAsia" w:ascii="Arial" w:hAnsi="Arial" w:cs="Arial"/>
                <w:sz w:val="21"/>
                <w:szCs w:val="20"/>
                <w:shd w:val="clear" w:color="auto" w:fill="FFFFFF"/>
              </w:rPr>
              <w:t>年</w:t>
            </w:r>
            <w:r>
              <w:rPr>
                <w:rStyle w:val="14"/>
                <w:rFonts w:ascii="Arial" w:hAnsi="Arial" w:cs="Arial"/>
                <w:sz w:val="21"/>
                <w:szCs w:val="20"/>
                <w:shd w:val="clear" w:color="auto" w:fill="FFFFFF"/>
              </w:rPr>
              <w:t>4</w:t>
            </w:r>
            <w:r>
              <w:rPr>
                <w:rStyle w:val="14"/>
                <w:rFonts w:hint="eastAsia" w:ascii="Arial" w:hAnsi="Arial" w:cs="Arial"/>
                <w:sz w:val="21"/>
                <w:szCs w:val="20"/>
                <w:shd w:val="clear" w:color="auto" w:fill="FFFFFF"/>
              </w:rPr>
              <w:t>月10日针对OHS和EMS对适用的法律法规符合性进行了评价，提供了20</w:t>
            </w:r>
            <w:r>
              <w:rPr>
                <w:rStyle w:val="14"/>
                <w:rFonts w:ascii="Arial" w:hAnsi="Arial" w:cs="Arial"/>
                <w:sz w:val="21"/>
                <w:szCs w:val="20"/>
                <w:shd w:val="clear" w:color="auto" w:fill="FFFFFF"/>
              </w:rPr>
              <w:t>20</w:t>
            </w:r>
            <w:r>
              <w:rPr>
                <w:rStyle w:val="14"/>
                <w:rFonts w:hint="eastAsia" w:ascii="Arial" w:hAnsi="Arial" w:cs="Arial"/>
                <w:sz w:val="21"/>
                <w:szCs w:val="20"/>
                <w:shd w:val="clear" w:color="auto" w:fill="FFFFFF"/>
              </w:rPr>
              <w:t>年合规性评价记录。</w:t>
            </w:r>
          </w:p>
          <w:p>
            <w:pPr>
              <w:pStyle w:val="5"/>
              <w:pBdr>
                <w:bottom w:val="none" w:color="auto" w:sz="0" w:space="0"/>
              </w:pBdr>
              <w:tabs>
                <w:tab w:val="center" w:pos="5737"/>
                <w:tab w:val="clear" w:pos="4153"/>
              </w:tabs>
              <w:jc w:val="left"/>
              <w:rPr>
                <w:rStyle w:val="14"/>
                <w:rFonts w:ascii="Arial" w:hAnsi="Arial" w:cs="Arial"/>
                <w:sz w:val="21"/>
                <w:szCs w:val="20"/>
                <w:shd w:val="clear" w:color="auto" w:fill="FFFFFF"/>
              </w:rPr>
            </w:pPr>
            <w:r>
              <w:rPr>
                <w:rStyle w:val="14"/>
                <w:rFonts w:hint="eastAsia" w:ascii="Arial" w:hAnsi="Arial" w:cs="Arial"/>
                <w:sz w:val="21"/>
                <w:szCs w:val="20"/>
                <w:shd w:val="clear" w:color="auto" w:fill="FFFFFF"/>
              </w:rPr>
              <w:t>无需环境、职业健康安全相关监测报告（EMS、OHS）。</w:t>
            </w:r>
          </w:p>
          <w:p>
            <w:pPr>
              <w:pStyle w:val="5"/>
              <w:pBdr>
                <w:bottom w:val="none" w:color="auto" w:sz="0" w:space="0"/>
              </w:pBdr>
              <w:tabs>
                <w:tab w:val="left" w:pos="5737"/>
                <w:tab w:val="clear" w:pos="4153"/>
                <w:tab w:val="clear" w:pos="8306"/>
              </w:tabs>
              <w:jc w:val="left"/>
              <w:rPr>
                <w:rStyle w:val="14"/>
                <w:rFonts w:ascii="Arial" w:hAnsi="Arial" w:cs="Arial"/>
                <w:sz w:val="21"/>
                <w:szCs w:val="20"/>
                <w:shd w:val="clear" w:color="auto" w:fill="FFFFFF"/>
              </w:rPr>
            </w:pPr>
            <w:r>
              <w:rPr>
                <w:rStyle w:val="14"/>
                <w:rFonts w:ascii="Arial" w:hAnsi="Arial" w:cs="Arial"/>
                <w:sz w:val="21"/>
                <w:szCs w:val="20"/>
                <w:shd w:val="clear" w:color="auto" w:fill="FFFFFF"/>
              </w:rPr>
              <w:tab/>
            </w:r>
          </w:p>
          <w:p>
            <w:pPr>
              <w:pStyle w:val="5"/>
              <w:pBdr>
                <w:bottom w:val="none" w:color="auto" w:sz="0" w:space="0"/>
              </w:pBdr>
              <w:tabs>
                <w:tab w:val="center" w:pos="5737"/>
                <w:tab w:val="clear" w:pos="4153"/>
              </w:tabs>
              <w:jc w:val="left"/>
              <w:rPr>
                <w:rStyle w:val="14"/>
                <w:rFonts w:ascii="Arial" w:hAnsi="Arial" w:cs="Arial"/>
                <w:sz w:val="21"/>
                <w:szCs w:val="20"/>
                <w:shd w:val="clear" w:color="auto" w:fill="FFFFFF"/>
              </w:rPr>
            </w:pPr>
          </w:p>
          <w:p>
            <w:pPr>
              <w:pStyle w:val="5"/>
              <w:pBdr>
                <w:bottom w:val="none" w:color="auto" w:sz="0" w:space="0"/>
              </w:pBdr>
              <w:tabs>
                <w:tab w:val="center" w:pos="5737"/>
                <w:tab w:val="clear" w:pos="4153"/>
              </w:tabs>
              <w:jc w:val="left"/>
              <w:rPr>
                <w:rStyle w:val="14"/>
                <w:rFonts w:ascii="Arial" w:hAnsi="Arial" w:cs="Arial"/>
                <w:sz w:val="21"/>
                <w:szCs w:val="20"/>
                <w:shd w:val="clear" w:color="auto" w:fill="FFFFFF"/>
              </w:rPr>
            </w:pPr>
          </w:p>
          <w:p>
            <w:pPr>
              <w:pStyle w:val="5"/>
              <w:pBdr>
                <w:bottom w:val="none" w:color="auto" w:sz="0" w:space="0"/>
              </w:pBdr>
              <w:tabs>
                <w:tab w:val="center" w:pos="5737"/>
                <w:tab w:val="clear" w:pos="4153"/>
              </w:tabs>
              <w:jc w:val="left"/>
              <w:rPr>
                <w:rStyle w:val="14"/>
                <w:rFonts w:ascii="Arial" w:hAnsi="Arial" w:cs="Arial"/>
                <w:sz w:val="21"/>
                <w:szCs w:val="20"/>
                <w:shd w:val="clear" w:color="auto" w:fill="FFFFFF"/>
              </w:rPr>
            </w:pPr>
          </w:p>
          <w:p>
            <w:pPr>
              <w:pStyle w:val="5"/>
              <w:pBdr>
                <w:bottom w:val="none" w:color="auto" w:sz="0" w:space="0"/>
              </w:pBdr>
              <w:tabs>
                <w:tab w:val="center" w:pos="5737"/>
                <w:tab w:val="clear" w:pos="4153"/>
              </w:tabs>
              <w:jc w:val="left"/>
              <w:rPr>
                <w:rStyle w:val="14"/>
                <w:rFonts w:ascii="Arial" w:hAnsi="Arial" w:cs="Arial"/>
                <w:sz w:val="21"/>
                <w:szCs w:val="20"/>
                <w:shd w:val="clear" w:color="auto" w:fill="FFFFFF"/>
              </w:rPr>
            </w:pPr>
          </w:p>
          <w:p>
            <w:pPr>
              <w:pStyle w:val="5"/>
              <w:pBdr>
                <w:bottom w:val="none" w:color="auto" w:sz="0" w:space="0"/>
              </w:pBdr>
              <w:tabs>
                <w:tab w:val="center" w:pos="5737"/>
                <w:tab w:val="clear" w:pos="4153"/>
              </w:tabs>
              <w:jc w:val="left"/>
              <w:rPr>
                <w:rStyle w:val="14"/>
                <w:rFonts w:ascii="Arial" w:hAnsi="Arial" w:cs="Arial"/>
                <w:sz w:val="21"/>
                <w:szCs w:val="20"/>
                <w:shd w:val="clear" w:color="auto" w:fill="FFFFFF"/>
              </w:rPr>
            </w:pPr>
          </w:p>
          <w:p>
            <w:pPr>
              <w:pStyle w:val="5"/>
              <w:pBdr>
                <w:bottom w:val="none" w:color="auto" w:sz="0" w:space="0"/>
              </w:pBdr>
              <w:tabs>
                <w:tab w:val="center" w:pos="5737"/>
                <w:tab w:val="clear" w:pos="4153"/>
              </w:tabs>
              <w:jc w:val="left"/>
              <w:rPr>
                <w:rStyle w:val="14"/>
                <w:rFonts w:ascii="Arial" w:hAnsi="Arial" w:cs="Arial"/>
                <w:sz w:val="21"/>
                <w:szCs w:val="20"/>
                <w:shd w:val="clear" w:color="auto" w:fill="FFFFFF"/>
              </w:rPr>
            </w:pPr>
            <w:r>
              <w:rPr>
                <w:rStyle w:val="14"/>
                <w:rFonts w:hint="eastAsia" w:ascii="Arial" w:hAnsi="Arial" w:cs="Arial"/>
                <w:sz w:val="21"/>
                <w:szCs w:val="20"/>
                <w:shd w:val="clear" w:color="auto" w:fill="FFFFFF"/>
              </w:rPr>
              <w:t>提供了“重要环境因素清单”</w:t>
            </w:r>
          </w:p>
          <w:p>
            <w:pPr>
              <w:rPr>
                <w:rFonts w:ascii="仿宋_GB2312" w:eastAsia="仿宋_GB2312"/>
                <w:sz w:val="24"/>
              </w:rPr>
            </w:pPr>
            <w:r>
              <w:rPr>
                <w:rStyle w:val="14"/>
                <w:rFonts w:hint="eastAsia" w:ascii="Arial" w:hAnsi="Arial" w:cs="Arial"/>
                <w:shd w:val="clear" w:color="auto" w:fill="FFFFFF"/>
              </w:rPr>
              <w:t>1.</w:t>
            </w:r>
            <w:r>
              <w:rPr>
                <w:rFonts w:hint="eastAsia" w:ascii="仿宋_GB2312" w:eastAsia="仿宋_GB2312"/>
                <w:sz w:val="24"/>
              </w:rPr>
              <w:t xml:space="preserve"> 潜在火灾事故发生</w:t>
            </w:r>
          </w:p>
          <w:p>
            <w:pPr>
              <w:rPr>
                <w:rStyle w:val="14"/>
                <w:rFonts w:ascii="Arial" w:hAnsi="Arial" w:cs="Arial"/>
                <w:shd w:val="clear" w:color="auto" w:fill="FFFFFF"/>
              </w:rPr>
            </w:pPr>
            <w:r>
              <w:rPr>
                <w:rStyle w:val="14"/>
                <w:rFonts w:hint="eastAsia" w:ascii="Arial" w:hAnsi="Arial" w:cs="Arial"/>
                <w:shd w:val="clear" w:color="auto" w:fill="FFFFFF"/>
              </w:rPr>
              <w:t>2.</w:t>
            </w:r>
            <w:r>
              <w:rPr>
                <w:rFonts w:hint="eastAsia" w:ascii="仿宋_GB2312" w:eastAsia="仿宋_GB2312"/>
                <w:sz w:val="24"/>
              </w:rPr>
              <w:t xml:space="preserve"> 固体废弃物处理</w:t>
            </w:r>
          </w:p>
          <w:p>
            <w:pPr>
              <w:rPr>
                <w:rStyle w:val="14"/>
                <w:rFonts w:ascii="Arial" w:hAnsi="Arial" w:cs="Arial"/>
                <w:shd w:val="clear" w:color="auto" w:fill="FFFFFF"/>
              </w:rPr>
            </w:pPr>
            <w:r>
              <w:rPr>
                <w:rStyle w:val="14"/>
                <w:rFonts w:hint="eastAsia" w:ascii="Arial" w:hAnsi="Arial" w:cs="Arial"/>
                <w:shd w:val="clear" w:color="auto" w:fill="FFFFFF"/>
              </w:rPr>
              <w:t>提供了“不可接受风险清单”</w:t>
            </w:r>
          </w:p>
          <w:p>
            <w:pPr>
              <w:rPr>
                <w:rFonts w:ascii="宋体" w:hAnsi="宋体" w:eastAsia="楷体_GB2312"/>
                <w:bCs/>
                <w:sz w:val="24"/>
              </w:rPr>
            </w:pPr>
            <w:r>
              <w:rPr>
                <w:rStyle w:val="14"/>
                <w:rFonts w:hint="eastAsia" w:ascii="Arial" w:hAnsi="Arial" w:cs="Arial"/>
                <w:shd w:val="clear" w:color="auto" w:fill="FFFFFF"/>
              </w:rPr>
              <w:t>1.</w:t>
            </w:r>
            <w:r>
              <w:rPr>
                <w:rFonts w:hint="eastAsia" w:ascii="宋体" w:hAnsi="宋体" w:eastAsia="楷体_GB2312"/>
                <w:bCs/>
                <w:sz w:val="24"/>
              </w:rPr>
              <w:t>潜在火灾、爆炸</w:t>
            </w:r>
          </w:p>
          <w:p>
            <w:pPr>
              <w:rPr>
                <w:rFonts w:ascii="宋体" w:hAnsi="宋体" w:eastAsia="楷体_GB2312"/>
                <w:bCs/>
                <w:sz w:val="24"/>
              </w:rPr>
            </w:pPr>
            <w:r>
              <w:rPr>
                <w:rFonts w:hint="eastAsia" w:ascii="宋体" w:hAnsi="宋体" w:eastAsia="楷体_GB2312"/>
                <w:bCs/>
                <w:sz w:val="24"/>
              </w:rPr>
              <w:t>2.触电</w:t>
            </w:r>
          </w:p>
          <w:p>
            <w:pPr>
              <w:rPr>
                <w:rStyle w:val="14"/>
                <w:rFonts w:ascii="Arial" w:hAnsi="Arial" w:cs="Arial"/>
                <w:shd w:val="clear" w:color="auto" w:fill="FFFFFF"/>
              </w:rPr>
            </w:pPr>
          </w:p>
          <w:p>
            <w:pPr>
              <w:pStyle w:val="2"/>
            </w:pPr>
          </w:p>
          <w:p>
            <w:pPr>
              <w:pStyle w:val="2"/>
            </w:pPr>
          </w:p>
          <w:p>
            <w:pPr>
              <w:pStyle w:val="2"/>
              <w:rPr>
                <w:rStyle w:val="14"/>
                <w:rFonts w:ascii="Arial" w:hAnsi="Arial" w:cs="Arial"/>
                <w:bCs w:val="0"/>
                <w:spacing w:val="0"/>
                <w:shd w:val="clear" w:color="auto" w:fill="FFFFFF"/>
              </w:rPr>
            </w:pPr>
          </w:p>
          <w:p>
            <w:pPr>
              <w:pStyle w:val="2"/>
            </w:pPr>
          </w:p>
          <w:p>
            <w:pPr>
              <w:rPr>
                <w:rStyle w:val="14"/>
                <w:rFonts w:ascii="Arial" w:hAnsi="Arial" w:cs="Arial"/>
                <w:shd w:val="clear" w:color="auto" w:fill="FFFFFF"/>
              </w:rPr>
            </w:pPr>
            <w:r>
              <w:rPr>
                <w:rStyle w:val="14"/>
                <w:rFonts w:hint="eastAsia" w:ascii="Arial" w:hAnsi="Arial" w:cs="Arial"/>
                <w:shd w:val="clear" w:color="auto" w:fill="FFFFFF"/>
              </w:rPr>
              <w:t>公司于20</w:t>
            </w:r>
            <w:r>
              <w:rPr>
                <w:rStyle w:val="14"/>
                <w:rFonts w:ascii="Arial" w:hAnsi="Arial" w:cs="Arial"/>
                <w:shd w:val="clear" w:color="auto" w:fill="FFFFFF"/>
              </w:rPr>
              <w:t>20.6.10</w:t>
            </w:r>
            <w:r>
              <w:rPr>
                <w:rStyle w:val="14"/>
                <w:rFonts w:hint="eastAsia" w:ascii="Arial" w:hAnsi="Arial" w:cs="Arial"/>
                <w:shd w:val="clear" w:color="auto" w:fill="FFFFFF"/>
              </w:rPr>
              <w:t>进行一次内审，提供了内审计划、内审记录、不符合报告、内审报告等，发现了1项不符合项，具体内容，二阶段进一步审核。</w:t>
            </w:r>
          </w:p>
          <w:p>
            <w:pPr>
              <w:rPr>
                <w:rStyle w:val="14"/>
                <w:rFonts w:ascii="Arial" w:hAnsi="Arial" w:cs="Arial"/>
                <w:shd w:val="clear" w:color="auto" w:fill="FFFFFF"/>
              </w:rPr>
            </w:pPr>
          </w:p>
          <w:p>
            <w:pPr>
              <w:pStyle w:val="2"/>
              <w:rPr>
                <w:rStyle w:val="14"/>
                <w:rFonts w:ascii="Arial" w:hAnsi="Arial" w:cs="Arial"/>
                <w:bCs w:val="0"/>
                <w:spacing w:val="0"/>
                <w:shd w:val="clear" w:color="auto" w:fill="FFFFFF"/>
              </w:rPr>
            </w:pPr>
          </w:p>
          <w:p>
            <w:pPr>
              <w:pStyle w:val="2"/>
              <w:rPr>
                <w:rStyle w:val="14"/>
                <w:rFonts w:ascii="Arial" w:hAnsi="Arial" w:cs="Arial"/>
                <w:bCs w:val="0"/>
                <w:spacing w:val="0"/>
                <w:shd w:val="clear" w:color="auto" w:fill="FFFFFF"/>
              </w:rPr>
            </w:pPr>
          </w:p>
          <w:p>
            <w:pPr>
              <w:pStyle w:val="2"/>
              <w:rPr>
                <w:rStyle w:val="14"/>
                <w:rFonts w:ascii="Arial" w:hAnsi="Arial" w:cs="Arial"/>
                <w:bCs w:val="0"/>
                <w:spacing w:val="0"/>
                <w:shd w:val="clear" w:color="auto" w:fill="FFFFFF"/>
              </w:rPr>
            </w:pPr>
          </w:p>
          <w:p>
            <w:pPr>
              <w:rPr>
                <w:rStyle w:val="14"/>
                <w:rFonts w:ascii="Arial" w:hAnsi="Arial" w:cs="Arial"/>
                <w:shd w:val="clear" w:color="auto" w:fill="FFFFFF"/>
              </w:rPr>
            </w:pPr>
            <w:r>
              <w:rPr>
                <w:rStyle w:val="14"/>
                <w:rFonts w:hint="eastAsia" w:ascii="Arial" w:hAnsi="Arial" w:cs="Arial"/>
                <w:shd w:val="clear" w:color="auto" w:fill="FFFFFF"/>
              </w:rPr>
              <w:t>20</w:t>
            </w:r>
            <w:r>
              <w:rPr>
                <w:rStyle w:val="14"/>
                <w:rFonts w:ascii="Arial" w:hAnsi="Arial" w:cs="Arial"/>
                <w:shd w:val="clear" w:color="auto" w:fill="FFFFFF"/>
              </w:rPr>
              <w:t>20.6.</w:t>
            </w:r>
            <w:r>
              <w:rPr>
                <w:rStyle w:val="14"/>
                <w:rFonts w:hint="eastAsia" w:ascii="Arial" w:hAnsi="Arial" w:cs="Arial"/>
                <w:shd w:val="clear" w:color="auto" w:fill="FFFFFF"/>
              </w:rPr>
              <w:t>20召开了管理评审会议，由总经理主持。提供管理评审报告，具体内容，二阶段进一步审核。</w:t>
            </w:r>
          </w:p>
          <w:p>
            <w:pPr>
              <w:rPr>
                <w:rStyle w:val="14"/>
                <w:rFonts w:ascii="Arial" w:hAnsi="Arial" w:cs="Arial"/>
                <w:shd w:val="clear" w:color="auto" w:fill="FFFFFF"/>
              </w:rPr>
            </w:pPr>
          </w:p>
          <w:p>
            <w:pPr>
              <w:pStyle w:val="2"/>
            </w:pPr>
          </w:p>
          <w:p>
            <w:pPr>
              <w:rPr>
                <w:rStyle w:val="14"/>
                <w:rFonts w:ascii="Arial" w:hAnsi="Arial" w:cs="Arial"/>
                <w:shd w:val="clear" w:color="auto" w:fill="FFFFFF"/>
              </w:rPr>
            </w:pPr>
          </w:p>
          <w:p>
            <w:pPr>
              <w:rPr>
                <w:rStyle w:val="14"/>
                <w:rFonts w:ascii="Arial" w:hAnsi="Arial" w:cs="Arial"/>
                <w:shd w:val="clear" w:color="auto" w:fill="FFFFFF"/>
              </w:rPr>
            </w:pPr>
          </w:p>
          <w:p>
            <w:pPr>
              <w:pStyle w:val="2"/>
            </w:pPr>
          </w:p>
          <w:p>
            <w:pPr>
              <w:pStyle w:val="2"/>
            </w:pPr>
          </w:p>
          <w:p>
            <w:pPr>
              <w:rPr>
                <w:rStyle w:val="14"/>
                <w:rFonts w:ascii="Arial" w:hAnsi="Arial" w:cs="Arial"/>
                <w:shd w:val="clear" w:color="auto" w:fill="FFFFFF"/>
              </w:rPr>
            </w:pPr>
            <w:r>
              <w:rPr>
                <w:rStyle w:val="14"/>
                <w:rFonts w:hint="eastAsia" w:ascii="Arial" w:hAnsi="Arial" w:cs="Arial"/>
                <w:shd w:val="clear" w:color="auto" w:fill="FFFFFF"/>
              </w:rPr>
              <w:t>未见特种设备台账。</w:t>
            </w:r>
          </w:p>
          <w:p>
            <w:pPr>
              <w:rPr>
                <w:rStyle w:val="14"/>
                <w:rFonts w:ascii="Arial" w:hAnsi="Arial" w:cs="Arial"/>
                <w:shd w:val="clear" w:color="auto" w:fill="FFFFFF"/>
              </w:rPr>
            </w:pPr>
            <w:r>
              <w:rPr>
                <w:rStyle w:val="14"/>
                <w:rFonts w:hint="eastAsia" w:ascii="Arial" w:hAnsi="Arial" w:cs="Arial"/>
                <w:shd w:val="clear" w:color="auto" w:fill="FFFFFF"/>
              </w:rPr>
              <w:t>办公设备：电脑、电话、打印机、传真机等</w:t>
            </w:r>
          </w:p>
          <w:p>
            <w:pPr>
              <w:pStyle w:val="2"/>
              <w:rPr>
                <w:rStyle w:val="14"/>
                <w:rFonts w:ascii="Arial" w:hAnsi="Arial" w:cs="Arial"/>
                <w:bCs w:val="0"/>
                <w:spacing w:val="0"/>
                <w:shd w:val="clear" w:color="auto" w:fill="FFFFFF"/>
              </w:rPr>
            </w:pPr>
            <w:r>
              <w:rPr>
                <w:rStyle w:val="14"/>
                <w:rFonts w:hint="eastAsia" w:ascii="Arial" w:hAnsi="Arial" w:cs="Arial"/>
                <w:bCs w:val="0"/>
                <w:spacing w:val="0"/>
                <w:shd w:val="clear" w:color="auto" w:fill="FFFFFF"/>
              </w:rPr>
              <w:t>环保设备：垃圾桶、灭火器</w:t>
            </w:r>
          </w:p>
          <w:p>
            <w:pPr>
              <w:pStyle w:val="2"/>
              <w:rPr>
                <w:rStyle w:val="14"/>
                <w:rFonts w:ascii="Arial" w:hAnsi="Arial" w:cs="Arial"/>
                <w:bCs w:val="0"/>
                <w:spacing w:val="0"/>
                <w:shd w:val="clear" w:color="auto" w:fill="FFFFFF"/>
              </w:rPr>
            </w:pPr>
            <w:r>
              <w:rPr>
                <w:rStyle w:val="14"/>
                <w:rFonts w:hint="eastAsia" w:ascii="Arial" w:hAnsi="Arial" w:cs="Arial"/>
                <w:bCs w:val="0"/>
                <w:spacing w:val="0"/>
                <w:shd w:val="clear" w:color="auto" w:fill="FFFFFF"/>
              </w:rPr>
              <w:t>消防设施：消防栓、灭火器、应急灯等</w:t>
            </w:r>
          </w:p>
          <w:p>
            <w:pPr>
              <w:rPr>
                <w:rStyle w:val="14"/>
                <w:rFonts w:ascii="Arial" w:hAnsi="Arial" w:cs="Arial"/>
                <w:shd w:val="clear" w:color="auto" w:fill="FFFFFF"/>
              </w:rPr>
            </w:pPr>
            <w:r>
              <w:rPr>
                <w:rStyle w:val="14"/>
                <w:rFonts w:ascii="Arial" w:hAnsi="Arial" w:cs="Arial"/>
                <w:shd w:val="clear" w:color="auto" w:fill="FFFFFF"/>
              </w:rPr>
              <w:t>无</w:t>
            </w:r>
            <w:r>
              <w:rPr>
                <w:rStyle w:val="14"/>
                <w:rFonts w:hint="eastAsia" w:ascii="Arial" w:hAnsi="Arial" w:cs="Arial"/>
                <w:shd w:val="clear" w:color="auto" w:fill="FFFFFF"/>
              </w:rPr>
              <w:t>环保\安全监测设备</w:t>
            </w:r>
          </w:p>
          <w:p>
            <w:pPr>
              <w:pStyle w:val="2"/>
              <w:rPr>
                <w:rStyle w:val="14"/>
                <w:rFonts w:ascii="Arial" w:hAnsi="Arial" w:cs="Arial"/>
                <w:bCs w:val="0"/>
                <w:spacing w:val="0"/>
                <w:shd w:val="clear" w:color="auto" w:fill="FFFFFF"/>
              </w:rPr>
            </w:pPr>
          </w:p>
          <w:p>
            <w:pPr>
              <w:pStyle w:val="2"/>
              <w:rPr>
                <w:rStyle w:val="14"/>
                <w:rFonts w:ascii="Arial" w:hAnsi="Arial" w:cs="Arial"/>
                <w:bCs w:val="0"/>
                <w:spacing w:val="0"/>
                <w:shd w:val="clear" w:color="auto" w:fill="FFFFFF"/>
              </w:rPr>
            </w:pPr>
            <w:bookmarkStart w:id="1" w:name="_GoBack"/>
            <w:bookmarkEnd w:id="1"/>
          </w:p>
          <w:p>
            <w:pPr>
              <w:spacing w:line="400" w:lineRule="exact"/>
              <w:rPr>
                <w:rStyle w:val="14"/>
                <w:rFonts w:ascii="Arial" w:hAnsi="Arial" w:cs="Arial"/>
                <w:shd w:val="clear" w:color="auto" w:fill="FFFFFF"/>
              </w:rPr>
            </w:pPr>
            <w:r>
              <w:rPr>
                <w:rStyle w:val="14"/>
                <w:rFonts w:hint="eastAsia" w:ascii="Arial" w:hAnsi="Arial" w:cs="Arial"/>
                <w:shd w:val="clear" w:color="auto" w:fill="FFFFFF"/>
              </w:rPr>
              <w:t>经询问，</w:t>
            </w:r>
            <w:r>
              <w:rPr>
                <w:rFonts w:hint="eastAsia" w:ascii="Arial" w:hAnsi="Arial" w:cs="Arial"/>
              </w:rPr>
              <w:t>云南欧尚邦顿科技有限公司成立于201</w:t>
            </w:r>
            <w:r>
              <w:rPr>
                <w:rFonts w:ascii="Arial" w:hAnsi="Arial" w:cs="Arial"/>
              </w:rPr>
              <w:t>0</w:t>
            </w:r>
            <w:r>
              <w:rPr>
                <w:rFonts w:hint="eastAsia" w:ascii="Arial" w:hAnsi="Arial" w:cs="Arial"/>
              </w:rPr>
              <w:t xml:space="preserve"> 年</w:t>
            </w:r>
            <w:r>
              <w:rPr>
                <w:rFonts w:ascii="Arial" w:hAnsi="Arial" w:cs="Arial"/>
              </w:rPr>
              <w:t>11</w:t>
            </w:r>
            <w:r>
              <w:rPr>
                <w:rFonts w:hint="eastAsia" w:ascii="Arial" w:hAnsi="Arial" w:cs="Arial"/>
              </w:rPr>
              <w:t>月</w:t>
            </w:r>
            <w:r>
              <w:rPr>
                <w:rFonts w:ascii="Arial" w:hAnsi="Arial" w:cs="Arial"/>
              </w:rPr>
              <w:t>09</w:t>
            </w:r>
            <w:r>
              <w:rPr>
                <w:rFonts w:hint="eastAsia" w:ascii="Arial" w:hAnsi="Arial" w:cs="Arial"/>
              </w:rPr>
              <w:t>日，营业期限：2010 年11月09日-长期，注册资金：1</w:t>
            </w:r>
            <w:r>
              <w:rPr>
                <w:rFonts w:ascii="Arial" w:hAnsi="Arial" w:cs="Arial"/>
              </w:rPr>
              <w:t>10</w:t>
            </w:r>
            <w:r>
              <w:rPr>
                <w:rFonts w:hint="eastAsia" w:ascii="Arial" w:hAnsi="Arial" w:cs="Arial"/>
              </w:rPr>
              <w:t>0万，企业信用代码：9</w:t>
            </w:r>
            <w:r>
              <w:rPr>
                <w:rFonts w:ascii="Arial" w:hAnsi="Arial" w:cs="Arial"/>
              </w:rPr>
              <w:t>15301005631782753</w:t>
            </w:r>
            <w:r>
              <w:rPr>
                <w:rFonts w:hint="eastAsia" w:ascii="Arial" w:hAnsi="Arial" w:cs="Arial"/>
              </w:rPr>
              <w:t>，注册地址：</w:t>
            </w:r>
            <w:r>
              <w:rPr>
                <w:rFonts w:hint="eastAsia" w:ascii="Arial" w:hAnsi="Arial" w:cs="Arial"/>
                <w:bCs/>
              </w:rPr>
              <w:t>云南省昆明经开区信息产业基地拓翔路2</w:t>
            </w:r>
            <w:r>
              <w:rPr>
                <w:rFonts w:ascii="Arial" w:hAnsi="Arial" w:cs="Arial"/>
                <w:bCs/>
              </w:rPr>
              <w:t>05号附</w:t>
            </w:r>
            <w:r>
              <w:rPr>
                <w:rFonts w:hint="eastAsia" w:ascii="Arial" w:hAnsi="Arial" w:cs="Arial"/>
                <w:bCs/>
              </w:rPr>
              <w:t>3</w:t>
            </w:r>
            <w:r>
              <w:rPr>
                <w:rFonts w:ascii="Arial" w:hAnsi="Arial" w:cs="Arial"/>
                <w:bCs/>
              </w:rPr>
              <w:t>号</w:t>
            </w:r>
            <w:r>
              <w:rPr>
                <w:rFonts w:hint="eastAsia" w:ascii="Arial" w:hAnsi="Arial" w:cs="Arial"/>
                <w:bCs/>
              </w:rPr>
              <w:t>办公楼2</w:t>
            </w:r>
            <w:r>
              <w:rPr>
                <w:rFonts w:ascii="Arial" w:hAnsi="Arial" w:cs="Arial"/>
                <w:bCs/>
              </w:rPr>
              <w:t>层</w:t>
            </w:r>
            <w:r>
              <w:rPr>
                <w:rFonts w:hint="eastAsia" w:ascii="Arial" w:hAnsi="Arial" w:cs="Arial"/>
                <w:bCs/>
              </w:rPr>
              <w:t>1</w:t>
            </w:r>
            <w:r>
              <w:rPr>
                <w:rFonts w:ascii="Arial" w:hAnsi="Arial" w:cs="Arial"/>
                <w:bCs/>
              </w:rPr>
              <w:t>室</w:t>
            </w:r>
            <w:r>
              <w:rPr>
                <w:rFonts w:hint="eastAsia" w:ascii="Arial" w:hAnsi="Arial" w:cs="Arial"/>
              </w:rPr>
              <w:t>，经营范围包括</w:t>
            </w:r>
            <w:r>
              <w:rPr>
                <w:rFonts w:ascii="Arial" w:hAnsi="Arial" w:cs="Arial"/>
              </w:rPr>
              <w:t>仪器仪表及配件的销售</w:t>
            </w:r>
            <w:r>
              <w:rPr>
                <w:rStyle w:val="14"/>
                <w:rFonts w:hint="eastAsia" w:ascii="Arial" w:hAnsi="Arial" w:cs="Arial"/>
              </w:rPr>
              <w:t>，</w:t>
            </w:r>
            <w:r>
              <w:t xml:space="preserve"> </w:t>
            </w:r>
            <w:r>
              <w:rPr>
                <w:rStyle w:val="14"/>
                <w:rFonts w:hint="eastAsia" w:ascii="Arial" w:hAnsi="Arial" w:cs="Arial"/>
              </w:rPr>
              <w:t>经视频照片查看，</w:t>
            </w:r>
            <w:r>
              <w:rPr>
                <w:rStyle w:val="14"/>
                <w:rFonts w:hint="eastAsia" w:ascii="Arial" w:hAnsi="Arial" w:cs="Arial"/>
                <w:shd w:val="clear" w:color="auto" w:fill="FFFFFF"/>
              </w:rPr>
              <w:t>办公区面积约</w:t>
            </w:r>
            <w:r>
              <w:rPr>
                <w:rStyle w:val="14"/>
                <w:rFonts w:ascii="Arial" w:hAnsi="Arial" w:cs="Arial"/>
                <w:shd w:val="clear" w:color="auto" w:fill="FFFFFF"/>
              </w:rPr>
              <w:t>70</w:t>
            </w:r>
            <w:r>
              <w:rPr>
                <w:rStyle w:val="14"/>
                <w:rFonts w:hint="eastAsia" w:ascii="Arial" w:hAnsi="Arial" w:cs="Arial"/>
                <w:shd w:val="clear" w:color="auto" w:fill="FFFFFF"/>
              </w:rPr>
              <w:t>平米，仓库区域面积约</w:t>
            </w:r>
            <w:r>
              <w:rPr>
                <w:rStyle w:val="14"/>
                <w:rFonts w:ascii="Arial" w:hAnsi="Arial" w:cs="Arial"/>
                <w:shd w:val="clear" w:color="auto" w:fill="FFFFFF"/>
              </w:rPr>
              <w:t>30</w:t>
            </w:r>
            <w:r>
              <w:rPr>
                <w:rStyle w:val="14"/>
                <w:rFonts w:hint="eastAsia" w:ascii="Arial" w:hAnsi="Arial" w:cs="Arial"/>
                <w:shd w:val="clear" w:color="auto" w:fill="FFFFFF"/>
              </w:rPr>
              <w:t>平米</w:t>
            </w:r>
            <w:r>
              <w:rPr>
                <w:rStyle w:val="14"/>
                <w:rFonts w:hint="eastAsia" w:ascii="Arial" w:hAnsi="Arial" w:cs="Arial"/>
              </w:rPr>
              <w:t>，无生产现场，现集中办公，办公区及库房域配置相当数量的灭火器，外观和检期均符合要求。</w:t>
            </w:r>
          </w:p>
          <w:p>
            <w:pPr>
              <w:widowControl/>
              <w:spacing w:line="400" w:lineRule="exact"/>
              <w:jc w:val="left"/>
              <w:rPr>
                <w:rStyle w:val="14"/>
                <w:rFonts w:ascii="Arial" w:hAnsi="Arial" w:cs="Arial"/>
                <w:shd w:val="clear" w:color="auto" w:fill="FFFFFF"/>
              </w:rPr>
            </w:pPr>
            <w:r>
              <w:rPr>
                <w:rStyle w:val="14"/>
                <w:rFonts w:hint="eastAsia" w:ascii="Arial" w:hAnsi="Arial" w:cs="Arial"/>
                <w:shd w:val="clear" w:color="auto" w:fill="FFFFFF"/>
              </w:rPr>
              <w:t>具备二阶段审核的条件</w:t>
            </w:r>
          </w:p>
          <w:p>
            <w:pPr>
              <w:rPr>
                <w:rStyle w:val="14"/>
                <w:rFonts w:ascii="Arial" w:hAnsi="Arial" w:cs="Arial"/>
                <w:shd w:val="clear" w:color="auto" w:fill="FFFFFF"/>
              </w:rPr>
            </w:pPr>
          </w:p>
        </w:tc>
        <w:tc>
          <w:tcPr>
            <w:tcW w:w="1585" w:type="dxa"/>
          </w:tcPr>
          <w:p/>
          <w:p/>
          <w:p/>
          <w:p/>
          <w:p/>
          <w:p/>
          <w:p/>
          <w:p/>
          <w:p/>
          <w:p/>
          <w:p/>
          <w:p/>
          <w:p/>
          <w:p/>
          <w:p/>
          <w:p/>
        </w:tc>
      </w:tr>
    </w:tbl>
    <w:p>
      <w:r>
        <w:ptab w:relativeTo="margin" w:alignment="center" w:leader="none"/>
      </w:r>
    </w:p>
    <w:p/>
    <w:p/>
    <w:p>
      <w:pPr>
        <w:pStyle w:val="4"/>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altName w:val="微软雅黑"/>
    <w:panose1 w:val="02010509060101010101"/>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4"/>
              <w:jc w:val="center"/>
            </w:pPr>
            <w:r>
              <w:rPr>
                <w:b/>
                <w:sz w:val="24"/>
                <w:szCs w:val="24"/>
              </w:rPr>
              <w:fldChar w:fldCharType="begin"/>
            </w:r>
            <w:r>
              <w:rPr>
                <w:b/>
              </w:rPr>
              <w:instrText xml:space="preserve">PAGE</w:instrText>
            </w:r>
            <w:r>
              <w:rPr>
                <w:b/>
                <w:sz w:val="24"/>
                <w:szCs w:val="24"/>
              </w:rPr>
              <w:fldChar w:fldCharType="separate"/>
            </w:r>
            <w:r>
              <w:rPr>
                <w:b/>
              </w:rPr>
              <w:t>5</w:t>
            </w:r>
            <w:r>
              <w:rPr>
                <w:b/>
                <w:sz w:val="24"/>
                <w:szCs w:val="24"/>
              </w:rPr>
              <w:fldChar w:fldCharType="end"/>
            </w:r>
            <w:r>
              <w:rPr>
                <w:lang w:val="zh-CN"/>
              </w:rPr>
              <w:t xml:space="preserve">/ </w:t>
            </w:r>
            <w:r>
              <w:rPr>
                <w:b/>
                <w:sz w:val="24"/>
                <w:szCs w:val="24"/>
              </w:rPr>
              <w:fldChar w:fldCharType="begin"/>
            </w:r>
            <w:r>
              <w:rPr>
                <w:b/>
              </w:rPr>
              <w:instrText xml:space="preserve">NUMPAGES</w:instrText>
            </w:r>
            <w:r>
              <w:rPr>
                <w:b/>
                <w:sz w:val="24"/>
                <w:szCs w:val="24"/>
              </w:rPr>
              <w:fldChar w:fldCharType="separate"/>
            </w:r>
            <w:r>
              <w:rPr>
                <w:b/>
              </w:rPr>
              <w:t>5</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5"/>
      <w:pBdr>
        <w:bottom w:val="none" w:color="auto" w:sz="0" w:space="1"/>
      </w:pBdr>
      <w:spacing w:line="320" w:lineRule="exact"/>
      <w:jc w:val="left"/>
    </w:pPr>
    <w:r>
      <w:pict>
        <v:shape id="文本框 1" o:spid="_x0000_s4097" o:spt="202" type="#_x0000_t202" style="position:absolute;left:0pt;margin-left:554.75pt;margin-top:2.2pt;height:20.2pt;width:172pt;z-index:251661312;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ISC-B-I-08 管理体系审核记录表(03版)</w:t>
                </w:r>
              </w:p>
            </w:txbxContent>
          </v:textbox>
        </v:shape>
      </w:pict>
    </w:r>
    <w:r>
      <w:rPr>
        <w:rStyle w:val="13"/>
        <w:rFonts w:hint="default"/>
        <w:w w:val="90"/>
      </w:rPr>
      <w:t>Beijing International Standard united Certification Co.,Ltd.</w:t>
    </w:r>
  </w:p>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62BD6A"/>
    <w:multiLevelType w:val="singleLevel"/>
    <w:tmpl w:val="7D62BD6A"/>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973B4"/>
    <w:rsid w:val="0003373A"/>
    <w:rsid w:val="000A0AE0"/>
    <w:rsid w:val="00160CB8"/>
    <w:rsid w:val="00171B35"/>
    <w:rsid w:val="00173111"/>
    <w:rsid w:val="001746DD"/>
    <w:rsid w:val="00195F4E"/>
    <w:rsid w:val="001A2D7F"/>
    <w:rsid w:val="002034F7"/>
    <w:rsid w:val="00207586"/>
    <w:rsid w:val="00231EEC"/>
    <w:rsid w:val="00276220"/>
    <w:rsid w:val="002B1259"/>
    <w:rsid w:val="002B7D8A"/>
    <w:rsid w:val="002C6853"/>
    <w:rsid w:val="002F7F21"/>
    <w:rsid w:val="003009D2"/>
    <w:rsid w:val="00323086"/>
    <w:rsid w:val="00337922"/>
    <w:rsid w:val="00340867"/>
    <w:rsid w:val="00380837"/>
    <w:rsid w:val="00410914"/>
    <w:rsid w:val="00447A1D"/>
    <w:rsid w:val="00482482"/>
    <w:rsid w:val="004A3879"/>
    <w:rsid w:val="005053BA"/>
    <w:rsid w:val="00536930"/>
    <w:rsid w:val="00550B37"/>
    <w:rsid w:val="00564E53"/>
    <w:rsid w:val="00644FE2"/>
    <w:rsid w:val="00647705"/>
    <w:rsid w:val="0066389F"/>
    <w:rsid w:val="0067002F"/>
    <w:rsid w:val="0067640C"/>
    <w:rsid w:val="00684747"/>
    <w:rsid w:val="006A24C0"/>
    <w:rsid w:val="006D2A32"/>
    <w:rsid w:val="006E678B"/>
    <w:rsid w:val="007161FC"/>
    <w:rsid w:val="00771141"/>
    <w:rsid w:val="007757F3"/>
    <w:rsid w:val="007B4185"/>
    <w:rsid w:val="007C6481"/>
    <w:rsid w:val="007C7FF6"/>
    <w:rsid w:val="007E1F32"/>
    <w:rsid w:val="007E63CD"/>
    <w:rsid w:val="007E6AEB"/>
    <w:rsid w:val="007F11BB"/>
    <w:rsid w:val="007F2191"/>
    <w:rsid w:val="008038DD"/>
    <w:rsid w:val="008973EE"/>
    <w:rsid w:val="008A1880"/>
    <w:rsid w:val="008B0711"/>
    <w:rsid w:val="008C2232"/>
    <w:rsid w:val="008C5B7C"/>
    <w:rsid w:val="008F6209"/>
    <w:rsid w:val="009002F0"/>
    <w:rsid w:val="009032FA"/>
    <w:rsid w:val="00960D4A"/>
    <w:rsid w:val="00964913"/>
    <w:rsid w:val="00971600"/>
    <w:rsid w:val="009973B4"/>
    <w:rsid w:val="009F7EED"/>
    <w:rsid w:val="00A059FF"/>
    <w:rsid w:val="00A160D6"/>
    <w:rsid w:val="00A551B2"/>
    <w:rsid w:val="00A72CEF"/>
    <w:rsid w:val="00AA34DA"/>
    <w:rsid w:val="00AD4912"/>
    <w:rsid w:val="00AF0AAB"/>
    <w:rsid w:val="00B4675E"/>
    <w:rsid w:val="00B70D4D"/>
    <w:rsid w:val="00BA7D6C"/>
    <w:rsid w:val="00BC1010"/>
    <w:rsid w:val="00BF04F3"/>
    <w:rsid w:val="00BF597E"/>
    <w:rsid w:val="00C156D1"/>
    <w:rsid w:val="00C37C07"/>
    <w:rsid w:val="00C51A36"/>
    <w:rsid w:val="00C55228"/>
    <w:rsid w:val="00C64216"/>
    <w:rsid w:val="00C6455B"/>
    <w:rsid w:val="00C73738"/>
    <w:rsid w:val="00CE21F2"/>
    <w:rsid w:val="00CE315A"/>
    <w:rsid w:val="00D06F59"/>
    <w:rsid w:val="00D10F63"/>
    <w:rsid w:val="00D2487A"/>
    <w:rsid w:val="00D8340F"/>
    <w:rsid w:val="00D8388C"/>
    <w:rsid w:val="00DE156F"/>
    <w:rsid w:val="00DE6E2D"/>
    <w:rsid w:val="00DF4D3C"/>
    <w:rsid w:val="00E33397"/>
    <w:rsid w:val="00E725E5"/>
    <w:rsid w:val="00E934E2"/>
    <w:rsid w:val="00EB0164"/>
    <w:rsid w:val="00EB1239"/>
    <w:rsid w:val="00EB6C9F"/>
    <w:rsid w:val="00ED0F62"/>
    <w:rsid w:val="00EE7CEA"/>
    <w:rsid w:val="00F64A84"/>
    <w:rsid w:val="00FC5109"/>
    <w:rsid w:val="00FD19BA"/>
    <w:rsid w:val="00FE3AB1"/>
    <w:rsid w:val="00FF5CB2"/>
    <w:rsid w:val="01FC5F1A"/>
    <w:rsid w:val="0B52157F"/>
    <w:rsid w:val="0E7D7958"/>
    <w:rsid w:val="108219C2"/>
    <w:rsid w:val="330A6E3C"/>
    <w:rsid w:val="3CDE21F3"/>
    <w:rsid w:val="44280853"/>
    <w:rsid w:val="5DC03935"/>
    <w:rsid w:val="5EA12B9A"/>
    <w:rsid w:val="5F5F2106"/>
    <w:rsid w:val="6CD46965"/>
    <w:rsid w:val="733C5917"/>
    <w:rsid w:val="79FB514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2"/>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 w:type="character" w:styleId="9">
    <w:name w:val="FollowedHyperlink"/>
    <w:qFormat/>
    <w:uiPriority w:val="0"/>
    <w:rPr>
      <w:color w:val="800080"/>
      <w:u w:val="single"/>
    </w:rPr>
  </w:style>
  <w:style w:type="character" w:customStyle="1" w:styleId="10">
    <w:name w:val="页眉 字符"/>
    <w:basedOn w:val="7"/>
    <w:link w:val="5"/>
    <w:qFormat/>
    <w:uiPriority w:val="99"/>
    <w:rPr>
      <w:rFonts w:ascii="Times New Roman" w:hAnsi="Times New Roman" w:eastAsia="宋体" w:cs="Times New Roman"/>
      <w:sz w:val="18"/>
      <w:szCs w:val="18"/>
    </w:rPr>
  </w:style>
  <w:style w:type="character" w:customStyle="1" w:styleId="11">
    <w:name w:val="页脚 字符"/>
    <w:basedOn w:val="7"/>
    <w:link w:val="4"/>
    <w:qFormat/>
    <w:uiPriority w:val="99"/>
    <w:rPr>
      <w:rFonts w:ascii="Times New Roman" w:hAnsi="Times New Roman" w:eastAsia="宋体" w:cs="Times New Roman"/>
      <w:sz w:val="18"/>
      <w:szCs w:val="18"/>
    </w:rPr>
  </w:style>
  <w:style w:type="character" w:customStyle="1" w:styleId="12">
    <w:name w:val="批注框文本 字符"/>
    <w:basedOn w:val="7"/>
    <w:link w:val="3"/>
    <w:semiHidden/>
    <w:qFormat/>
    <w:uiPriority w:val="99"/>
    <w:rPr>
      <w:rFonts w:ascii="Times New Roman" w:hAnsi="Times New Roman" w:eastAsia="宋体" w:cs="Times New Roman"/>
      <w:sz w:val="18"/>
      <w:szCs w:val="18"/>
    </w:rPr>
  </w:style>
  <w:style w:type="character" w:customStyle="1" w:styleId="13">
    <w:name w:val="Char Char1"/>
    <w:qFormat/>
    <w:locked/>
    <w:uiPriority w:val="0"/>
    <w:rPr>
      <w:rFonts w:hint="eastAsia" w:ascii="宋体" w:hAnsi="Courier New" w:eastAsia="宋体"/>
      <w:kern w:val="2"/>
      <w:sz w:val="21"/>
      <w:lang w:val="en-US" w:eastAsia="zh-CN" w:bidi="ar-SA"/>
    </w:rPr>
  </w:style>
  <w:style w:type="character" w:customStyle="1" w:styleId="14">
    <w:name w:val="info-content-text"/>
    <w:basedOn w:val="7"/>
    <w:qFormat/>
    <w:uiPriority w:val="0"/>
  </w:style>
  <w:style w:type="character" w:customStyle="1" w:styleId="15">
    <w:name w:val="info-expand-btn"/>
    <w:basedOn w:val="7"/>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339</Words>
  <Characters>1938</Characters>
  <Lines>16</Lines>
  <Paragraphs>4</Paragraphs>
  <TotalTime>218</TotalTime>
  <ScaleCrop>false</ScaleCrop>
  <LinksUpToDate>false</LinksUpToDate>
  <CharactersWithSpaces>2273</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Joyce</cp:lastModifiedBy>
  <dcterms:modified xsi:type="dcterms:W3CDTF">2020-08-29T03:22:29Z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