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 xml:space="preserve"> 大庆慧龙石油机械有限公司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0075-2017-2020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075-</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7-</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rPr>
              <w:t>大庆</w:t>
            </w:r>
            <w:r>
              <w:rPr>
                <w:rFonts w:hint="eastAsia" w:ascii="宋体" w:hAnsi="宋体"/>
                <w:szCs w:val="21"/>
                <w:lang w:val="en-US" w:eastAsia="zh-CN"/>
              </w:rPr>
              <w:t>惠龙石油机械</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shd w:val="clear" w:color="auto" w:fill="auto"/>
                <w:lang w:val="en-US" w:eastAsia="zh-CN"/>
              </w:rPr>
              <w:t>ISC-2017-0154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shd w:val="clear" w:color="auto" w:fill="auto"/>
                <w:lang w:val="en-US" w:eastAsia="zh-CN"/>
              </w:rPr>
              <w:t>2022.9.5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第3次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 w:val="15"/>
                <w:szCs w:val="15"/>
                <w:lang w:val="en-US" w:eastAsia="zh-CN"/>
              </w:rPr>
              <w:t>质检办，技术办，行政办，营销办，生产办（加工车间）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Cs w:val="21"/>
          <w:lang w:eastAsia="zh-CN"/>
        </w:rPr>
        <w:t>大庆慧龙石油机械</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bCs/>
          <w:sz w:val="24"/>
          <w:szCs w:val="24"/>
          <w:lang w:val="en-US" w:eastAsia="zh-CN"/>
        </w:rPr>
        <w:t>；</w:t>
      </w:r>
      <w:r>
        <w:rPr>
          <w:rFonts w:hint="eastAsia" w:ascii="宋体" w:hAnsi="宋体"/>
          <w:szCs w:val="21"/>
          <w:lang w:eastAsia="zh-CN"/>
        </w:rPr>
        <w:t>大庆慧龙石油机械</w:t>
      </w:r>
      <w:r>
        <w:rPr>
          <w:rFonts w:hint="eastAsia" w:ascii="宋体" w:hAnsi="宋体"/>
          <w:bCs/>
          <w:sz w:val="24"/>
          <w:szCs w:val="24"/>
          <w:lang w:val="en-US" w:eastAsia="zh-CN"/>
        </w:rPr>
        <w:t>有限公司测量管理体系的符合性、有效性及持续改进，符合GB/T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7</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12</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5</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8</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10</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管理者代表朱永珍</w:t>
      </w:r>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snapToGrid w:val="0"/>
        <w:spacing w:line="360" w:lineRule="auto"/>
        <w:ind w:right="-512" w:rightChars="-244"/>
        <w:rPr>
          <w:rFonts w:hint="eastAsia" w:eastAsiaTheme="minorEastAsia"/>
          <w:sz w:val="24"/>
          <w:szCs w:val="24"/>
          <w:shd w:val="clear" w:color="auto" w:fill="auto"/>
          <w:lang w:eastAsia="zh-CN"/>
        </w:rPr>
      </w:pPr>
      <w:r>
        <w:rPr>
          <w:rFonts w:hint="eastAsia" w:asciiTheme="minorEastAsia" w:hAnsiTheme="minorEastAsia"/>
          <w:bCs/>
          <w:szCs w:val="21"/>
        </w:rPr>
        <w:t>4.为</w:t>
      </w:r>
      <w:r>
        <w:rPr>
          <w:rFonts w:hint="eastAsia"/>
          <w:sz w:val="24"/>
          <w:szCs w:val="24"/>
          <w:lang w:val="en-US" w:eastAsia="zh-CN"/>
        </w:rPr>
        <w:t>持续改进而策划的活动的进展 ，包括：企业对已识别的采油井口装置水压密封试验测量过程，按测量过程控制规范，进行了有效性监视。记录、监视控制图齐全，完整；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采油井口装置水压密封试验</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cs="宋体" w:asciiTheme="minorEastAsia" w:hAnsiTheme="minorEastAsia"/>
          <w:bCs/>
          <w:color w:val="000000" w:themeColor="text1"/>
          <w:kern w:val="0"/>
          <w:sz w:val="24"/>
          <w:szCs w:val="24"/>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2019年监督</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及时制定整改计划，采取了</w:t>
      </w:r>
      <w:r>
        <w:rPr>
          <w:rFonts w:hint="eastAsia" w:ascii="宋体" w:hAnsi="宋体" w:cs="宋体"/>
          <w:kern w:val="0"/>
          <w:sz w:val="24"/>
          <w:szCs w:val="24"/>
        </w:rPr>
        <w:t>纠正措施</w:t>
      </w:r>
      <w:r>
        <w:rPr>
          <w:rFonts w:hint="eastAsia" w:ascii="宋体" w:hAnsi="宋体" w:cs="宋体"/>
          <w:kern w:val="0"/>
          <w:sz w:val="24"/>
          <w:szCs w:val="24"/>
          <w:lang w:val="en-US" w:eastAsia="zh-CN"/>
        </w:rPr>
        <w:t>，对公司的测量设备质量记录等进行了认真检查，加强了对测量设备质量记录</w:t>
      </w:r>
      <w:r>
        <w:rPr>
          <w:rFonts w:hint="eastAsia" w:ascii="宋体" w:cs="宋体"/>
          <w:color w:val="000000" w:themeColor="text1"/>
          <w:kern w:val="0"/>
          <w:sz w:val="24"/>
          <w:szCs w:val="24"/>
          <w:lang w:val="en-US" w:eastAsia="zh-CN"/>
        </w:rPr>
        <w:t>管理并受控，举一反三对公司相关</w:t>
      </w:r>
      <w:r>
        <w:rPr>
          <w:rFonts w:hint="eastAsia" w:ascii="宋体" w:hAnsi="宋体" w:cs="宋体"/>
          <w:kern w:val="0"/>
          <w:sz w:val="24"/>
          <w:szCs w:val="24"/>
          <w:lang w:val="en-US" w:eastAsia="zh-CN"/>
        </w:rPr>
        <w:t>测量设备质量记录</w:t>
      </w:r>
      <w:r>
        <w:rPr>
          <w:rFonts w:hint="eastAsia" w:ascii="宋体" w:cs="宋体"/>
          <w:color w:val="000000" w:themeColor="text1"/>
          <w:kern w:val="0"/>
          <w:sz w:val="24"/>
          <w:szCs w:val="24"/>
          <w:lang w:val="en-US" w:eastAsia="zh-CN"/>
        </w:rPr>
        <w:t>进行检查，发现问题一并改正。</w:t>
      </w:r>
      <w:r>
        <w:rPr>
          <w:rFonts w:hint="eastAsia" w:ascii="宋体" w:hAnsi="宋体"/>
          <w:color w:val="000000" w:themeColor="text1"/>
          <w:sz w:val="24"/>
          <w:szCs w:val="24"/>
        </w:rPr>
        <w:t>经审核组本次现场审核，通过对纠正措施工作的实施、完成情况跟踪及有效性进行现场查验，确认公司</w:t>
      </w:r>
      <w:r>
        <w:rPr>
          <w:rFonts w:hint="eastAsia" w:ascii="宋体" w:hAnsi="宋体"/>
          <w:color w:val="000000" w:themeColor="text1"/>
          <w:sz w:val="24"/>
          <w:szCs w:val="24"/>
          <w:lang w:val="en-US" w:eastAsia="zh-CN"/>
        </w:rPr>
        <w:t>2019年度监督</w:t>
      </w:r>
      <w:r>
        <w:rPr>
          <w:rFonts w:hint="eastAsia" w:asciiTheme="minorEastAsia" w:hAnsiTheme="minorEastAsia"/>
          <w:bCs/>
          <w:sz w:val="24"/>
          <w:szCs w:val="24"/>
          <w:lang w:val="en-US" w:eastAsia="zh-CN"/>
        </w:rPr>
        <w:t>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个不符合项，所</w:t>
      </w:r>
      <w:r>
        <w:rPr>
          <w:rFonts w:hint="eastAsia" w:asciiTheme="minorEastAsia" w:hAnsiTheme="minorEastAsia"/>
          <w:bCs/>
          <w:color w:val="000000" w:themeColor="text1"/>
          <w:sz w:val="24"/>
          <w:szCs w:val="24"/>
        </w:rPr>
        <w:t>采取的</w:t>
      </w:r>
      <w:r>
        <w:rPr>
          <w:rFonts w:hint="eastAsia" w:ascii="宋体" w:hAnsi="宋体" w:cs="宋体"/>
          <w:color w:val="000000" w:themeColor="text1"/>
          <w:kern w:val="0"/>
          <w:sz w:val="24"/>
          <w:szCs w:val="24"/>
        </w:rPr>
        <w:t>纠正措施及时、正确，完成情况良好并持续有效</w:t>
      </w:r>
      <w:r>
        <w:rPr>
          <w:rFonts w:hint="eastAsia" w:ascii="宋体" w:cs="宋体"/>
          <w:color w:val="000000" w:themeColor="text1"/>
          <w:kern w:val="0"/>
          <w:sz w:val="24"/>
          <w:szCs w:val="24"/>
          <w:lang w:val="en-US" w:eastAsia="zh-CN"/>
        </w:rPr>
        <w:t>。同</w:t>
      </w:r>
      <w:r>
        <w:rPr>
          <w:rFonts w:hint="eastAsia" w:ascii="宋体" w:cs="宋体"/>
          <w:color w:val="000000" w:themeColor="text1"/>
          <w:kern w:val="0"/>
          <w:sz w:val="24"/>
          <w:szCs w:val="24"/>
        </w:rPr>
        <w:t>意关闭</w:t>
      </w:r>
      <w:r>
        <w:rPr>
          <w:rFonts w:hint="eastAsia" w:ascii="宋体" w:cs="宋体"/>
          <w:color w:val="000000" w:themeColor="text1"/>
          <w:kern w:val="0"/>
          <w:sz w:val="24"/>
          <w:szCs w:val="24"/>
          <w:lang w:val="en-US" w:eastAsia="zh-CN"/>
        </w:rPr>
        <w:t>1</w:t>
      </w:r>
      <w:r>
        <w:rPr>
          <w:rFonts w:hint="eastAsia" w:ascii="宋体" w:cs="宋体"/>
          <w:color w:val="000000" w:themeColor="text1"/>
          <w:kern w:val="0"/>
          <w:sz w:val="24"/>
          <w:szCs w:val="24"/>
        </w:rPr>
        <w:t>个不符合项。</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6</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numPr>
          <w:ilvl w:val="0"/>
          <w:numId w:val="0"/>
        </w:numPr>
        <w:snapToGrid w:val="0"/>
        <w:spacing w:line="360" w:lineRule="auto"/>
        <w:ind w:leftChars="0" w:right="-512" w:rightChars="-244" w:firstLine="480" w:firstLineChars="200"/>
        <w:rPr>
          <w:rFonts w:hint="eastAsia" w:ascii="宋体" w:hAnsi="宋体"/>
          <w:sz w:val="24"/>
          <w:szCs w:val="24"/>
          <w:highlight w:val="none"/>
          <w:shd w:val="clear" w:color="auto" w:fill="auto"/>
          <w:lang w:val="en-US" w:eastAsia="zh-CN"/>
        </w:rPr>
      </w:pPr>
      <w:r>
        <w:rPr>
          <w:rFonts w:hint="eastAsia" w:ascii="宋体" w:hAnsi="宋体"/>
          <w:sz w:val="24"/>
          <w:szCs w:val="24"/>
          <w:highlight w:val="none"/>
          <w:lang w:val="en-US" w:eastAsia="zh-CN"/>
        </w:rPr>
        <w:t>对企业组织任何变更的审核  组织无变更</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keepNext w:val="0"/>
        <w:keepLines w:val="0"/>
        <w:widowControl/>
        <w:suppressLineNumbers w:val="0"/>
        <w:ind w:firstLine="720" w:firstLineChars="300"/>
        <w:jc w:val="left"/>
        <w:rPr>
          <w:rFonts w:hint="eastAsia" w:ascii="宋体" w:hAnsi="宋体"/>
          <w:sz w:val="24"/>
          <w:szCs w:val="24"/>
          <w:highlight w:val="none"/>
          <w:lang w:val="en-US" w:eastAsia="zh-CN"/>
        </w:rPr>
      </w:pPr>
      <w:r>
        <w:rPr>
          <w:rFonts w:hint="eastAsia" w:ascii="宋体" w:hAnsi="宋体"/>
          <w:sz w:val="24"/>
          <w:szCs w:val="24"/>
          <w:highlight w:val="none"/>
        </w:rPr>
        <w:t xml:space="preserve">本次审核共出具一般不符合项 </w:t>
      </w:r>
      <w:r>
        <w:rPr>
          <w:rFonts w:hint="eastAsia" w:ascii="宋体" w:hAnsi="宋体"/>
          <w:sz w:val="24"/>
          <w:szCs w:val="24"/>
          <w:highlight w:val="none"/>
          <w:lang w:val="en-US" w:eastAsia="zh-CN"/>
        </w:rPr>
        <w:t>1</w:t>
      </w:r>
      <w:r>
        <w:rPr>
          <w:rFonts w:hint="eastAsia" w:ascii="宋体" w:hAnsi="宋体"/>
          <w:sz w:val="24"/>
          <w:szCs w:val="24"/>
          <w:highlight w:val="none"/>
        </w:rPr>
        <w:t>项，未发现严重或系统性的不符合情况。</w:t>
      </w:r>
      <w:r>
        <w:rPr>
          <w:rFonts w:hint="eastAsia" w:ascii="宋体" w:hAnsi="宋体" w:cs="宋体"/>
          <w:kern w:val="0"/>
          <w:szCs w:val="21"/>
          <w:lang w:val="en-US" w:eastAsia="zh-CN"/>
        </w:rPr>
        <w:t>在生产车间工具室发现企业自检测量设备游标卡尺没有形成校验记录，不符合</w:t>
      </w:r>
      <w:r>
        <w:rPr>
          <w:rFonts w:ascii="宋体" w:hAnsi="宋体" w:cs="宋体"/>
          <w:kern w:val="0"/>
          <w:szCs w:val="21"/>
        </w:rPr>
        <w:t>___</w:t>
      </w:r>
      <w:r>
        <w:rPr>
          <w:rFonts w:hint="eastAsia" w:ascii="宋体" w:hAnsi="宋体" w:cs="宋体"/>
          <w:kern w:val="0"/>
          <w:szCs w:val="21"/>
        </w:rPr>
        <w:t>GB/T19022-2003标准</w:t>
      </w:r>
      <w:r>
        <w:rPr>
          <w:rFonts w:hint="eastAsia" w:ascii="宋体" w:hAnsi="宋体" w:cs="宋体"/>
          <w:kern w:val="0"/>
          <w:szCs w:val="21"/>
          <w:lang w:val="en-US" w:eastAsia="zh-CN"/>
        </w:rPr>
        <w:t>6.2.3记录</w:t>
      </w:r>
      <w:r>
        <w:rPr>
          <w:rFonts w:hint="eastAsia" w:ascii="宋体" w:hAnsi="宋体" w:cs="宋体"/>
          <w:kern w:val="0"/>
          <w:szCs w:val="21"/>
        </w:rPr>
        <w:t>条款</w:t>
      </w:r>
      <w:r>
        <w:rPr>
          <w:rFonts w:hint="eastAsia" w:ascii="宋体" w:hAnsi="宋体"/>
        </w:rPr>
        <w:t>。</w:t>
      </w:r>
      <w:r>
        <w:rPr>
          <w:rFonts w:hint="eastAsia" w:ascii="宋体" w:hAnsi="宋体"/>
          <w:lang w:eastAsia="zh-CN"/>
        </w:rPr>
        <w:t>（</w:t>
      </w:r>
      <w:r>
        <w:rPr>
          <w:rFonts w:hint="eastAsia" w:ascii="宋体" w:hAnsi="宋体" w:eastAsia="宋体" w:cs="宋体"/>
          <w:color w:val="000000"/>
          <w:kern w:val="0"/>
          <w:sz w:val="19"/>
          <w:szCs w:val="19"/>
          <w:lang w:val="en-US" w:eastAsia="zh-CN" w:bidi="ar"/>
        </w:rPr>
        <w:t>应保存测量管理体系运行所需信息的记录</w:t>
      </w:r>
      <w:r>
        <w:rPr>
          <w:rFonts w:hint="eastAsia" w:ascii="宋体" w:hAnsi="宋体"/>
          <w:lang w:eastAsia="zh-CN"/>
        </w:rPr>
        <w:t>）</w:t>
      </w:r>
      <w:r>
        <w:rPr>
          <w:rFonts w:hint="eastAsia" w:ascii="宋体" w:hAnsi="宋体"/>
          <w:lang w:val="en-US" w:eastAsia="zh-CN"/>
        </w:rPr>
        <w:t>不符合要求。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center"/>
        <w:rPr>
          <w:rFonts w:ascii="宋体" w:hAnsi="宋体" w:eastAsia="宋体" w:cs="Times New Roman"/>
          <w:sz w:val="24"/>
          <w:szCs w:val="24"/>
          <w:highlight w:val="none"/>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8</w:t>
      </w:r>
      <w:r>
        <w:rPr>
          <w:rStyle w:val="11"/>
          <w:rFonts w:ascii="宋体" w:hAnsi="宋体" w:eastAsia="宋体"/>
          <w:sz w:val="24"/>
          <w:szCs w:val="24"/>
        </w:rPr>
        <w:t>月</w:t>
      </w:r>
      <w:r>
        <w:rPr>
          <w:rStyle w:val="11"/>
          <w:rFonts w:hint="eastAsia" w:ascii="宋体" w:hAnsi="宋体" w:eastAsia="宋体"/>
          <w:sz w:val="24"/>
          <w:szCs w:val="24"/>
          <w:lang w:val="en-US" w:eastAsia="zh-CN"/>
        </w:rPr>
        <w:t>18</w:t>
      </w:r>
      <w:r>
        <w:rPr>
          <w:rStyle w:val="11"/>
          <w:rFonts w:ascii="宋体" w:hAnsi="宋体" w:eastAsia="宋体"/>
          <w:sz w:val="24"/>
          <w:szCs w:val="24"/>
        </w:rPr>
        <w:t>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Fonts w:hint="eastAsia" w:ascii="宋体" w:hAnsi="宋体" w:eastAsia="宋体"/>
          <w:szCs w:val="21"/>
          <w:lang w:eastAsia="zh-CN"/>
        </w:rPr>
        <w:t>大庆慧龙石油机械</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第3</w:t>
      </w:r>
      <w:bookmarkStart w:id="1" w:name="_GoBack"/>
      <w:bookmarkEnd w:id="1"/>
      <w:r>
        <w:rPr>
          <w:rStyle w:val="11"/>
          <w:rFonts w:hint="eastAsia" w:ascii="宋体" w:hAnsi="宋体" w:eastAsia="宋体"/>
          <w:sz w:val="24"/>
          <w:szCs w:val="24"/>
          <w:lang w:val="en-US" w:eastAsia="zh-CN"/>
        </w:rPr>
        <w:t>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r>
        <w:rPr>
          <w:rFonts w:hint="eastAsia" w:ascii="宋体" w:hAnsi="宋体"/>
          <w:sz w:val="24"/>
          <w:szCs w:val="24"/>
        </w:rPr>
        <w:t>用能单位的能源计量器具准确度等级</w:t>
      </w:r>
      <w:r>
        <w:rPr>
          <w:rFonts w:hint="eastAsia" w:ascii="宋体" w:hAnsi="宋体"/>
          <w:sz w:val="24"/>
          <w:szCs w:val="24"/>
          <w:lang w:val="en-US" w:eastAsia="zh-CN"/>
        </w:rPr>
        <w:t xml:space="preserve"> ，</w:t>
      </w:r>
      <w:r>
        <w:rPr>
          <w:rFonts w:ascii="宋体" w:hAnsi="宋体"/>
          <w:szCs w:val="21"/>
        </w:rPr>
        <w:t>用能单位的能源计量器具准确度等级</w:t>
      </w:r>
      <w:r>
        <w:rPr>
          <w:rFonts w:hint="eastAsia" w:ascii="宋体" w:hAnsi="宋体"/>
          <w:szCs w:val="21"/>
        </w:rPr>
        <w:t>：</w:t>
      </w:r>
      <w:r>
        <w:rPr>
          <w:rFonts w:hint="eastAsia"/>
          <w:szCs w:val="21"/>
        </w:rPr>
        <w:t>2.0级的三相四线电能表1块和2</w:t>
      </w:r>
      <w:r>
        <w:rPr>
          <w:rFonts w:hint="eastAsia"/>
          <w:szCs w:val="21"/>
          <w:lang w:val="en-US" w:eastAsia="zh-CN"/>
        </w:rPr>
        <w:t>.5</w:t>
      </w:r>
      <w:r>
        <w:rPr>
          <w:rFonts w:hint="eastAsia"/>
          <w:szCs w:val="21"/>
        </w:rPr>
        <w:t>级的水表1块，</w:t>
      </w:r>
      <w:r>
        <w:rPr>
          <w:rFonts w:ascii="宋体" w:hAnsi="宋体"/>
          <w:szCs w:val="21"/>
        </w:rPr>
        <w:t>满足GB17167标准4.3.8表4</w:t>
      </w:r>
      <w:r>
        <w:rPr>
          <w:rFonts w:hint="eastAsia" w:ascii="宋体" w:hAnsi="宋体"/>
          <w:szCs w:val="21"/>
        </w:rPr>
        <w:t>的</w:t>
      </w:r>
      <w:r>
        <w:rPr>
          <w:rFonts w:ascii="宋体" w:hAnsi="宋体"/>
          <w:szCs w:val="21"/>
        </w:rPr>
        <w:t>要求</w:t>
      </w:r>
      <w:r>
        <w:rPr>
          <w:rFonts w:hint="eastAsia"/>
          <w:szCs w:val="21"/>
        </w:rPr>
        <w:t xml:space="preserve">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足要求。综上所述，</w:t>
      </w:r>
      <w:r>
        <w:rPr>
          <w:rFonts w:hint="eastAsia" w:ascii="宋体" w:hAnsi="宋体"/>
          <w:sz w:val="24"/>
          <w:szCs w:val="24"/>
        </w:rPr>
        <w:t>审核组认为</w:t>
      </w:r>
      <w:r>
        <w:rPr>
          <w:rFonts w:hint="eastAsia" w:ascii="宋体" w:hAnsi="宋体"/>
          <w:szCs w:val="21"/>
          <w:lang w:eastAsia="zh-CN"/>
        </w:rPr>
        <w:t>大庆慧龙石油机械</w:t>
      </w:r>
      <w:r>
        <w:rPr>
          <w:rStyle w:val="11"/>
          <w:rFonts w:hint="eastAsia" w:ascii="宋体" w:hAnsi="宋体" w:eastAsia="宋体"/>
          <w:sz w:val="24"/>
          <w:szCs w:val="24"/>
        </w:rPr>
        <w:t>有限公司</w:t>
      </w:r>
      <w:r>
        <w:rPr>
          <w:rFonts w:hint="eastAsia" w:ascii="宋体" w:hAnsi="宋体"/>
          <w:sz w:val="24"/>
          <w:szCs w:val="24"/>
        </w:rPr>
        <w:t>测量管理体系，符合GB/T 19022-2003标准要求，对体系运行具有持续的有效性、符合性予以肯定。建议报请国标联合认证有限公司批准通过监督审核。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5A06FCA"/>
    <w:rsid w:val="0BF45514"/>
    <w:rsid w:val="0E8C5939"/>
    <w:rsid w:val="130160F5"/>
    <w:rsid w:val="138501A6"/>
    <w:rsid w:val="14575BEE"/>
    <w:rsid w:val="14EA6CB3"/>
    <w:rsid w:val="195A5F8B"/>
    <w:rsid w:val="1D5E1F47"/>
    <w:rsid w:val="1D9A2E7B"/>
    <w:rsid w:val="1DD97BCA"/>
    <w:rsid w:val="1E2774C7"/>
    <w:rsid w:val="23881FD2"/>
    <w:rsid w:val="246E16E9"/>
    <w:rsid w:val="267B10B4"/>
    <w:rsid w:val="27554591"/>
    <w:rsid w:val="28826509"/>
    <w:rsid w:val="2A55179D"/>
    <w:rsid w:val="308C462A"/>
    <w:rsid w:val="31DB01B3"/>
    <w:rsid w:val="365A3F08"/>
    <w:rsid w:val="36C43AD4"/>
    <w:rsid w:val="37774C67"/>
    <w:rsid w:val="3BB67694"/>
    <w:rsid w:val="3C9F7C5C"/>
    <w:rsid w:val="3EBB7FAC"/>
    <w:rsid w:val="3EC25B56"/>
    <w:rsid w:val="4024179D"/>
    <w:rsid w:val="452E2EEF"/>
    <w:rsid w:val="49C14E74"/>
    <w:rsid w:val="4A8A2F7C"/>
    <w:rsid w:val="4F757019"/>
    <w:rsid w:val="4FF60B62"/>
    <w:rsid w:val="51C16409"/>
    <w:rsid w:val="547533AA"/>
    <w:rsid w:val="55C92FC9"/>
    <w:rsid w:val="56896C6B"/>
    <w:rsid w:val="58082CF0"/>
    <w:rsid w:val="5896057E"/>
    <w:rsid w:val="5BA410AD"/>
    <w:rsid w:val="5C2C0776"/>
    <w:rsid w:val="5F1C7C1A"/>
    <w:rsid w:val="5FB81639"/>
    <w:rsid w:val="5FCA3BA5"/>
    <w:rsid w:val="61854963"/>
    <w:rsid w:val="61A667FC"/>
    <w:rsid w:val="67D506DB"/>
    <w:rsid w:val="693568F0"/>
    <w:rsid w:val="707F0D4F"/>
    <w:rsid w:val="74832446"/>
    <w:rsid w:val="74BF4AAE"/>
    <w:rsid w:val="786D4912"/>
    <w:rsid w:val="7AAE132C"/>
    <w:rsid w:val="7BAC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2020-08-18T05:28:15Z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