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720" w:firstLineChars="3200"/>
        <w:jc w:val="both"/>
        <w:rPr>
          <w:rFonts w:ascii="隶书" w:hAnsi="宋体" w:eastAsia="隶书"/>
          <w:bCs/>
          <w:color w:val="000000"/>
          <w:sz w:val="21"/>
          <w:szCs w:val="21"/>
        </w:rPr>
      </w:pPr>
      <w:r>
        <w:rPr>
          <w:rFonts w:hint="eastAsia" w:ascii="隶书" w:hAnsi="宋体" w:eastAsia="隶书"/>
          <w:bCs/>
          <w:color w:val="000000"/>
          <w:sz w:val="21"/>
          <w:szCs w:val="21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32"/>
        <w:gridCol w:w="1076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88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抽样计划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</w:t>
            </w:r>
          </w:p>
        </w:tc>
        <w:tc>
          <w:tcPr>
            <w:tcW w:w="107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主管领导：胡长清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88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760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周涛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审核时间：2020.08.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2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88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760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Q7.1.6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7.5；E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/8.2</w:t>
            </w:r>
          </w:p>
        </w:tc>
        <w:tc>
          <w:tcPr>
            <w:tcW w:w="82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环境因素/危险源的识别和控制</w:t>
            </w:r>
          </w:p>
        </w:tc>
        <w:tc>
          <w:tcPr>
            <w:tcW w:w="1032" w:type="dxa"/>
            <w:vAlign w:val="top"/>
          </w:tcPr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10760" w:type="dxa"/>
            <w:vAlign w:val="top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编制了《环境因素识别与评价控制程序》，经查基本符合标准要求。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提供《环境因素评价表》，包括固废废弃、意外火灾等。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可以提供《重要环境因素清单》，其中重要环境因素：潜在火灾、固废。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评价基本合理并制定有控制措施。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提供了职业健康安全危险源识别与评价表，涉及本部门的危险源包括：潜在火灾、新冠疫情。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用LEC法对识别的危险源进行评价，本部门不可接受风险：潜在火灾、新冠疫情，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评价基本合理并制定有控制措施。</w:t>
            </w:r>
          </w:p>
        </w:tc>
        <w:tc>
          <w:tcPr>
            <w:tcW w:w="829" w:type="dxa"/>
          </w:tcPr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合规义务及评价</w:t>
            </w:r>
          </w:p>
        </w:tc>
        <w:tc>
          <w:tcPr>
            <w:tcW w:w="10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EO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6.1.3/9.1.2</w:t>
            </w:r>
          </w:p>
        </w:tc>
        <w:tc>
          <w:tcPr>
            <w:tcW w:w="10760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《合规义务控制程序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YMH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-CX-04》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YMH-CX-27-2020 合规性评价管理程序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《法律法规与其他要求一览表》，识别了相关环境、职业健康安全合规义务。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适用的法律法规及其他要求清单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识别相关法律法规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，包括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中华人民共和国产品质量法、《中华人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民共和国消费者权益保护法》、中华人民共和国固体废物污染环境防治法、城市生活垃圾管理办法、FZ/T24002-93《中华人民共和国纺织行业标准 精梳毛织品》、FZ/T01053-1998《中华人民共和国标准 纺织品纤维含量的标识》、GB5296.4-87《中华人民共和国标准 消费品使用说明  纺织品和服装使用说明书》;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《中华人民共和国环境保护法》、《中华人民共和国固体废物污染环境防治法》、《中华人民共和国水污染防治法》、《中华人民共和国传染病防治法》、《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北京市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环境保护条例》、《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北京市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消防条例》等。已识别法律法规及其它要求的适用条款，能与环境因素、危险源相对应。</w:t>
            </w:r>
          </w:p>
          <w:p>
            <w:pPr>
              <w:spacing w:before="156" w:beforeLines="50"/>
              <w:ind w:firstLine="210" w:firstLineChars="100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根据需要随时网上获取、识别更新，并通过培训、宣传、会议等形式传达给员工和相关方，各部门如有需要随时到查阅。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见评价结果，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但无编审批签字。企业需改进，下次审核现场补充审核关注。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本次远程审核，未查到企业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无违规行为。</w:t>
            </w:r>
          </w:p>
        </w:tc>
        <w:tc>
          <w:tcPr>
            <w:tcW w:w="829" w:type="dxa"/>
          </w:tcPr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目标的措施的策划</w:t>
            </w:r>
          </w:p>
        </w:tc>
        <w:tc>
          <w:tcPr>
            <w:tcW w:w="1032" w:type="dxa"/>
            <w:vAlign w:val="top"/>
          </w:tcPr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EO6.2.2</w:t>
            </w:r>
          </w:p>
        </w:tc>
        <w:tc>
          <w:tcPr>
            <w:tcW w:w="10760" w:type="dxa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编制了《环境/职业健康安全目标和管理方案的控制程序 YJ-CX-05》，公司有将质量、环境、职业健康安全目标分解到各个部门，    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的目标是：  </w:t>
            </w:r>
          </w:p>
          <w:tbl>
            <w:tblPr>
              <w:tblStyle w:val="8"/>
              <w:tblW w:w="590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4"/>
              <w:gridCol w:w="1207"/>
              <w:gridCol w:w="19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274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120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954" w:type="dxa"/>
                  <w:vAlign w:val="center"/>
                </w:tcPr>
                <w:p>
                  <w:pPr>
                    <w:spacing w:line="240" w:lineRule="exact"/>
                    <w:ind w:left="360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274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顾客满意度≥95%</w:t>
                  </w:r>
                </w:p>
              </w:tc>
              <w:tc>
                <w:tcPr>
                  <w:tcW w:w="120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954" w:type="dxa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274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项目合同履约率100%</w:t>
                  </w:r>
                </w:p>
              </w:tc>
              <w:tc>
                <w:tcPr>
                  <w:tcW w:w="120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954" w:type="dxa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274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固废处理率</w:t>
                  </w:r>
                </w:p>
              </w:tc>
              <w:tc>
                <w:tcPr>
                  <w:tcW w:w="120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954" w:type="dxa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274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120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954" w:type="dxa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0</w:t>
                  </w:r>
                </w:p>
              </w:tc>
            </w:tr>
          </w:tbl>
          <w:p>
            <w:pPr>
              <w:tabs>
                <w:tab w:val="center" w:pos="3169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提供《管理目标完成情况检查表》2020.7.1日检查完成情况：已完成。</w:t>
            </w:r>
          </w:p>
        </w:tc>
        <w:tc>
          <w:tcPr>
            <w:tcW w:w="829" w:type="dxa"/>
          </w:tcPr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8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highlight w:val="none"/>
              </w:rPr>
              <w:t>资源提供</w:t>
            </w:r>
          </w:p>
        </w:tc>
        <w:tc>
          <w:tcPr>
            <w:tcW w:w="1032" w:type="dxa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QEO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color w:val="auto"/>
                <w:highlight w:val="none"/>
              </w:rPr>
              <w:t>7.1</w:t>
            </w:r>
          </w:p>
        </w:tc>
        <w:tc>
          <w:tcPr>
            <w:tcW w:w="10760" w:type="dxa"/>
            <w:vAlign w:val="center"/>
          </w:tcPr>
          <w:p>
            <w:pPr>
              <w:spacing w:before="156" w:beforeLines="5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公司提供并维护为达到产品符合要求（符合顾客要求、法律法规要求、公司及其他相关方要求）所必需的基础设施。这些基础设施包括：工作场所和相关的设施如仓库、办公室办公设备、通讯设施、网络等</w:t>
            </w:r>
          </w:p>
          <w:p>
            <w:pPr>
              <w:spacing w:before="156" w:beforeLines="5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查房屋租赁合同，</w:t>
            </w:r>
            <w:r>
              <w:rPr>
                <w:rFonts w:hint="eastAsia"/>
                <w:color w:val="auto"/>
                <w:highlight w:val="none"/>
              </w:rPr>
              <w:t>场所面积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180</w:t>
            </w:r>
            <w:r>
              <w:rPr>
                <w:rFonts w:hint="eastAsia"/>
                <w:color w:val="auto"/>
                <w:highlight w:val="none"/>
              </w:rPr>
              <w:t>平方米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eastAsia"/>
                <w:color w:val="auto"/>
                <w:highlight w:val="none"/>
              </w:rPr>
              <w:t>内有</w:t>
            </w:r>
            <w:r>
              <w:rPr>
                <w:color w:val="auto"/>
                <w:highlight w:val="none"/>
              </w:rPr>
              <w:t>电脑</w:t>
            </w:r>
            <w:r>
              <w:rPr>
                <w:rFonts w:hint="eastAsia"/>
                <w:color w:val="auto"/>
                <w:highlight w:val="none"/>
              </w:rPr>
              <w:t>、</w:t>
            </w:r>
            <w:r>
              <w:rPr>
                <w:color w:val="auto"/>
                <w:highlight w:val="none"/>
              </w:rPr>
              <w:t>打印机</w:t>
            </w:r>
            <w:r>
              <w:rPr>
                <w:rFonts w:hint="eastAsia"/>
                <w:color w:val="auto"/>
                <w:highlight w:val="none"/>
              </w:rPr>
              <w:t>、复印机、办公桌椅等。提供设备维护计划：电脑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定期</w:t>
            </w:r>
            <w:r>
              <w:rPr>
                <w:rFonts w:hint="eastAsia"/>
                <w:color w:val="auto"/>
                <w:highlight w:val="none"/>
              </w:rPr>
              <w:t>升级，同意杀毒，系统打补丁。打印机：2020年底检修。</w:t>
            </w:r>
          </w:p>
          <w:p>
            <w:pPr>
              <w:pStyle w:val="1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提供设备设施维修、保养记录单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</w:rPr>
              <w:t>完成系统更新 ，电脑运行流畅。</w:t>
            </w:r>
          </w:p>
          <w:p>
            <w:pPr>
              <w:spacing w:before="156" w:beforeLines="5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资金支持：注册资金500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万元。</w:t>
            </w:r>
            <w:r>
              <w:rPr>
                <w:rFonts w:hint="eastAsia"/>
                <w:strike/>
                <w:dstrike w:val="0"/>
                <w:color w:val="auto"/>
                <w:highlight w:val="none"/>
              </w:rPr>
              <w:t>至</w:t>
            </w:r>
            <w:r>
              <w:rPr>
                <w:rFonts w:hint="eastAsia"/>
                <w:color w:val="auto"/>
                <w:highlight w:val="none"/>
              </w:rPr>
              <w:t>2020年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年度</w:t>
            </w:r>
            <w:r>
              <w:rPr>
                <w:rFonts w:hint="eastAsia"/>
                <w:color w:val="auto"/>
                <w:highlight w:val="none"/>
              </w:rPr>
              <w:t>安全环保投入资金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469</w:t>
            </w:r>
            <w:r>
              <w:rPr>
                <w:rFonts w:hint="eastAsia"/>
                <w:color w:val="auto"/>
                <w:highlight w:val="none"/>
              </w:rPr>
              <w:t>00元。主要用于废弃物处理、消防器材购买、口罩、劳保用品的消费等。</w:t>
            </w:r>
          </w:p>
          <w:p>
            <w:pPr>
              <w:spacing w:before="156" w:beforeLines="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auto"/>
                <w:highlight w:val="none"/>
              </w:rPr>
              <w:t>以上资源能够满足企业的经营需要，符合QEO管理体系要求。</w:t>
            </w:r>
          </w:p>
        </w:tc>
        <w:tc>
          <w:tcPr>
            <w:tcW w:w="829" w:type="dxa"/>
          </w:tcPr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032" w:type="dxa"/>
            <w:vAlign w:val="top"/>
          </w:tcPr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EO8.2</w:t>
            </w:r>
          </w:p>
        </w:tc>
        <w:tc>
          <w:tcPr>
            <w:tcW w:w="1076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编制了《应急准备和响应控制程序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YMH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-CX-16》，确定的紧急情况有：火灾、触电、人身伤害等，提供了紧急情况的《应急预案》，包括安全生产事故应急救援预案、触电应急预案、火灾爆炸应急救援预案、机械伤害应急预案、防疫应急预案等。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提供2020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的火灾消防演习通知和演习评审记录，记录了演练过程，演练后对应急预案进行了总结：演习结束后，公司主管负责人、应急领导小组成员及消防队员进行了演习总结。对这次演习给予了充分肯定，对队员们忘我的精神进行了表扬，大家一致认为，通过演习既锻炼了队伍，又检验应急反应能力，提高了广大职工的消防意识和素质，为今后消防工作打下了很好的基础，为安全生产提供了可靠的保证。本次演习了取得圆满成功。记录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胡长青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日期：2020.0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现场查看办公区域内有配备消防设施，状态有效。</w:t>
            </w:r>
          </w:p>
          <w:p>
            <w:pPr>
              <w:pStyle w:val="5"/>
              <w:kinsoku w:val="0"/>
              <w:overflowPunct w:val="0"/>
              <w:spacing w:before="9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查到“2020年消防器材检查”，3.15日、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4.10日、5.8日、6.8日对灭火器进行了检查，检查结果正常，检查人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胡长青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针对新冠肺炎疫情公司制定了管理制度和应急预案，应急措施包括口罩发放、消杀消毒等。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829" w:type="dxa"/>
          </w:tcPr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产品和服务的要求</w:t>
            </w:r>
          </w:p>
        </w:tc>
        <w:tc>
          <w:tcPr>
            <w:tcW w:w="1032" w:type="dxa"/>
            <w:vAlign w:val="top"/>
          </w:tcPr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Q8.2</w:t>
            </w:r>
          </w:p>
        </w:tc>
        <w:tc>
          <w:tcPr>
            <w:tcW w:w="10760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抽查3份合同。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签订时间地点：2019年12月  东莞茶山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客户：广州江河幕墙系统工程有限公司东莞分公司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商品名称：工人工作服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产品明细：1材质：35/65棉涤；单位：套、数量：755、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另外两份合同：武汉江河幕墙系统工程有限公司、广州江河幕墙系统工程有限公司与上面的合同相同。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合同都有评审人员的签字并盖有公章，产品和服务要求的确认符合标准要求，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合同在执行过程中没有更改。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经过上述合同可知，服饰产品在定合同时样式、大小、颜色等等都规定的很清楚，公司严格按照合同内容采购，不需要设计开发内容。Q8.3删减合理。</w:t>
            </w:r>
          </w:p>
        </w:tc>
        <w:tc>
          <w:tcPr>
            <w:tcW w:w="82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2" w:type="dxa"/>
            <w:vAlign w:val="top"/>
          </w:tcPr>
          <w:p>
            <w:pPr>
              <w:pStyle w:val="1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Q8.4</w:t>
            </w: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O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8.1.4</w:t>
            </w:r>
          </w:p>
        </w:tc>
        <w:tc>
          <w:tcPr>
            <w:tcW w:w="10760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提供合格供方名录：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序号         供方名称                 地  址                       提供产品      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   北京宏锦利达贸易有限公司/北京市朝阳区新源里16号5层3座503      服装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  永清县陈秋纺织品有限公司/廊坊市永清县曹家务乡孟各庄村云裳小镇G5-109  服装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   北京恒昌佳美纺织品有限公司/北京经济技术开发区文化园西路6号18#楼   服装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   顺丰快递、      北京市                               服装运输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   德邦快递        北京市                               服装运输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提供上述供方的评价表</w:t>
            </w:r>
          </w:p>
        </w:tc>
        <w:tc>
          <w:tcPr>
            <w:tcW w:w="829" w:type="dxa"/>
          </w:tcPr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7"/>
        <w:rPr>
          <w:rFonts w:hint="eastAsia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72CA2"/>
    <w:rsid w:val="043130EE"/>
    <w:rsid w:val="073F0403"/>
    <w:rsid w:val="07E054B4"/>
    <w:rsid w:val="07EF63EC"/>
    <w:rsid w:val="09136E22"/>
    <w:rsid w:val="0C4A4BE1"/>
    <w:rsid w:val="0F535804"/>
    <w:rsid w:val="0F5F2CA2"/>
    <w:rsid w:val="10A44B6E"/>
    <w:rsid w:val="12DB5940"/>
    <w:rsid w:val="132011BC"/>
    <w:rsid w:val="15A6299A"/>
    <w:rsid w:val="18EC7036"/>
    <w:rsid w:val="19517451"/>
    <w:rsid w:val="1AB56CF2"/>
    <w:rsid w:val="1B2867E3"/>
    <w:rsid w:val="1C227ED4"/>
    <w:rsid w:val="2090758A"/>
    <w:rsid w:val="209718B6"/>
    <w:rsid w:val="2106051C"/>
    <w:rsid w:val="22C248E2"/>
    <w:rsid w:val="27D47017"/>
    <w:rsid w:val="28E1001D"/>
    <w:rsid w:val="29287B01"/>
    <w:rsid w:val="29BC0075"/>
    <w:rsid w:val="2A726582"/>
    <w:rsid w:val="2A993974"/>
    <w:rsid w:val="2BCC6C74"/>
    <w:rsid w:val="2E040135"/>
    <w:rsid w:val="2E177B63"/>
    <w:rsid w:val="2EA56094"/>
    <w:rsid w:val="30563DE0"/>
    <w:rsid w:val="316B456C"/>
    <w:rsid w:val="32473A4C"/>
    <w:rsid w:val="330B5A81"/>
    <w:rsid w:val="348B159A"/>
    <w:rsid w:val="34CD146B"/>
    <w:rsid w:val="35875204"/>
    <w:rsid w:val="36D01390"/>
    <w:rsid w:val="37F71D8F"/>
    <w:rsid w:val="3BF6316A"/>
    <w:rsid w:val="3C082FD9"/>
    <w:rsid w:val="3E0D73A2"/>
    <w:rsid w:val="3F2F7D42"/>
    <w:rsid w:val="40CD1EC2"/>
    <w:rsid w:val="43223ED7"/>
    <w:rsid w:val="46793D72"/>
    <w:rsid w:val="469054FE"/>
    <w:rsid w:val="477E4B15"/>
    <w:rsid w:val="49464C15"/>
    <w:rsid w:val="4C330D73"/>
    <w:rsid w:val="4F794BEB"/>
    <w:rsid w:val="50513254"/>
    <w:rsid w:val="52D85EA9"/>
    <w:rsid w:val="574B2E8B"/>
    <w:rsid w:val="57C60632"/>
    <w:rsid w:val="59D01B59"/>
    <w:rsid w:val="5B266AA5"/>
    <w:rsid w:val="5BBF3897"/>
    <w:rsid w:val="5CB555B0"/>
    <w:rsid w:val="5F13006F"/>
    <w:rsid w:val="65CD0AF5"/>
    <w:rsid w:val="67EF5E0C"/>
    <w:rsid w:val="68A573B7"/>
    <w:rsid w:val="6A446D2A"/>
    <w:rsid w:val="6A7B34F7"/>
    <w:rsid w:val="6ED9794E"/>
    <w:rsid w:val="73461902"/>
    <w:rsid w:val="73AB34AD"/>
    <w:rsid w:val="74E500FB"/>
    <w:rsid w:val="750F2076"/>
    <w:rsid w:val="76C24EFB"/>
    <w:rsid w:val="76C52D96"/>
    <w:rsid w:val="77000135"/>
    <w:rsid w:val="77B0498B"/>
    <w:rsid w:val="7A056DC0"/>
    <w:rsid w:val="7C503703"/>
    <w:rsid w:val="7C971CB0"/>
    <w:rsid w:val="7FD547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_Style 2"/>
    <w:basedOn w:val="1"/>
    <w:qFormat/>
    <w:uiPriority w:val="34"/>
    <w:pPr>
      <w:adjustRightInd w:val="0"/>
      <w:spacing w:line="312" w:lineRule="atLeast"/>
      <w:ind w:firstLine="420" w:firstLineChars="200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2020-08-30T23:51:28Z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