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sz w:val="21"/>
          <w:szCs w:val="21"/>
        </w:rPr>
      </w:pPr>
    </w:p>
    <w:p>
      <w:pPr>
        <w:spacing w:line="480" w:lineRule="exact"/>
        <w:jc w:val="center"/>
        <w:rPr>
          <w:rFonts w:ascii="隶书" w:hAnsi="宋体" w:eastAsia="隶书"/>
          <w:bCs/>
          <w:color w:val="000000"/>
          <w:sz w:val="21"/>
          <w:szCs w:val="21"/>
        </w:rPr>
      </w:pPr>
      <w:r>
        <w:rPr>
          <w:rFonts w:hint="eastAsia" w:ascii="隶书" w:hAnsi="宋体" w:eastAsia="隶书"/>
          <w:bCs/>
          <w:color w:val="000000"/>
          <w:sz w:val="21"/>
          <w:szCs w:val="21"/>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32"/>
        <w:gridCol w:w="1076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8" w:type="dxa"/>
            <w:vMerge w:val="restart"/>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1032" w:type="dxa"/>
            <w:vMerge w:val="restart"/>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760" w:type="dxa"/>
            <w:vAlign w:val="center"/>
          </w:tcPr>
          <w:p>
            <w:pPr>
              <w:rPr>
                <w:sz w:val="21"/>
                <w:szCs w:val="21"/>
              </w:rPr>
            </w:pPr>
            <w:r>
              <w:rPr>
                <w:rFonts w:hint="eastAsia" w:cs="宋体"/>
                <w:sz w:val="21"/>
                <w:szCs w:val="21"/>
              </w:rPr>
              <w:t>受审核部门：</w:t>
            </w:r>
            <w:r>
              <w:rPr>
                <w:rFonts w:hint="eastAsia"/>
                <w:sz w:val="21"/>
                <w:szCs w:val="21"/>
                <w:lang w:val="en-US" w:eastAsia="zh-CN"/>
              </w:rPr>
              <w:t>综合部</w:t>
            </w:r>
            <w:r>
              <w:rPr>
                <w:rFonts w:hint="eastAsia" w:ascii="宋体" w:hAnsi="宋体"/>
                <w:sz w:val="21"/>
                <w:szCs w:val="21"/>
              </w:rPr>
              <w:t xml:space="preserve">   </w:t>
            </w:r>
            <w:r>
              <w:rPr>
                <w:sz w:val="21"/>
                <w:szCs w:val="21"/>
              </w:rPr>
              <w:t xml:space="preserve">   </w:t>
            </w:r>
            <w:r>
              <w:rPr>
                <w:rFonts w:hint="eastAsia" w:cs="宋体"/>
                <w:sz w:val="21"/>
                <w:szCs w:val="21"/>
              </w:rPr>
              <w:t>主管领导：刘长国</w:t>
            </w:r>
            <w:r>
              <w:rPr>
                <w:rFonts w:hint="eastAsia" w:cs="宋体"/>
                <w:sz w:val="21"/>
                <w:szCs w:val="21"/>
                <w:lang w:val="en-US" w:eastAsia="zh-CN"/>
              </w:rPr>
              <w:t xml:space="preserve">        </w:t>
            </w:r>
            <w:r>
              <w:rPr>
                <w:sz w:val="21"/>
                <w:szCs w:val="21"/>
              </w:rPr>
              <w:t xml:space="preserve">     </w:t>
            </w:r>
            <w:r>
              <w:rPr>
                <w:rFonts w:hint="eastAsia" w:cs="宋体"/>
                <w:sz w:val="21"/>
                <w:szCs w:val="21"/>
              </w:rPr>
              <w:t>陪同人员：</w:t>
            </w:r>
            <w:r>
              <w:rPr>
                <w:rFonts w:hint="eastAsia"/>
                <w:sz w:val="21"/>
                <w:szCs w:val="21"/>
              </w:rPr>
              <w:t xml:space="preserve"> </w:t>
            </w:r>
          </w:p>
        </w:tc>
        <w:tc>
          <w:tcPr>
            <w:tcW w:w="829" w:type="dxa"/>
            <w:vMerge w:val="restart"/>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88" w:type="dxa"/>
            <w:vMerge w:val="continue"/>
            <w:vAlign w:val="center"/>
          </w:tcPr>
          <w:p>
            <w:pPr>
              <w:rPr>
                <w:sz w:val="21"/>
                <w:szCs w:val="21"/>
              </w:rPr>
            </w:pPr>
          </w:p>
        </w:tc>
        <w:tc>
          <w:tcPr>
            <w:tcW w:w="1032" w:type="dxa"/>
            <w:vMerge w:val="continue"/>
            <w:vAlign w:val="center"/>
          </w:tcPr>
          <w:p>
            <w:pPr>
              <w:rPr>
                <w:sz w:val="21"/>
                <w:szCs w:val="21"/>
              </w:rPr>
            </w:pPr>
          </w:p>
        </w:tc>
        <w:tc>
          <w:tcPr>
            <w:tcW w:w="10760" w:type="dxa"/>
            <w:vAlign w:val="center"/>
          </w:tcPr>
          <w:p>
            <w:pPr>
              <w:spacing w:before="120"/>
              <w:rPr>
                <w:rFonts w:hint="eastAsia" w:eastAsia="宋体"/>
                <w:sz w:val="21"/>
                <w:szCs w:val="21"/>
                <w:lang w:eastAsia="zh-CN"/>
              </w:rPr>
            </w:pPr>
            <w:r>
              <w:rPr>
                <w:rFonts w:hint="eastAsia" w:cs="宋体"/>
                <w:sz w:val="21"/>
                <w:szCs w:val="21"/>
              </w:rPr>
              <w:t>审核员：</w:t>
            </w:r>
            <w:r>
              <w:rPr>
                <w:rFonts w:hint="eastAsia" w:ascii="宋体" w:hAnsi="宋体"/>
                <w:sz w:val="21"/>
                <w:szCs w:val="21"/>
                <w:lang w:val="en-US" w:eastAsia="zh-CN"/>
              </w:rPr>
              <w:t xml:space="preserve">周涛          </w:t>
            </w:r>
            <w:r>
              <w:rPr>
                <w:rFonts w:hint="eastAsia" w:ascii="宋体" w:hAnsi="宋体"/>
                <w:sz w:val="21"/>
                <w:szCs w:val="21"/>
              </w:rPr>
              <w:t xml:space="preserve">  </w:t>
            </w:r>
            <w:r>
              <w:rPr>
                <w:sz w:val="21"/>
                <w:szCs w:val="21"/>
              </w:rPr>
              <w:t xml:space="preserve">    </w:t>
            </w:r>
            <w:r>
              <w:rPr>
                <w:rFonts w:hint="eastAsia" w:cs="宋体"/>
                <w:sz w:val="21"/>
                <w:szCs w:val="21"/>
              </w:rPr>
              <w:t>审核时间：</w:t>
            </w:r>
            <w:r>
              <w:rPr>
                <w:rFonts w:hint="eastAsia"/>
                <w:sz w:val="21"/>
                <w:szCs w:val="21"/>
              </w:rPr>
              <w:t>2020.0</w:t>
            </w:r>
            <w:r>
              <w:rPr>
                <w:sz w:val="21"/>
                <w:szCs w:val="21"/>
              </w:rPr>
              <w:t>8</w:t>
            </w:r>
            <w:r>
              <w:rPr>
                <w:rFonts w:hint="eastAsia"/>
                <w:sz w:val="21"/>
                <w:szCs w:val="21"/>
              </w:rPr>
              <w:t>.</w:t>
            </w:r>
            <w:r>
              <w:rPr>
                <w:rFonts w:hint="eastAsia"/>
                <w:sz w:val="21"/>
                <w:szCs w:val="21"/>
                <w:lang w:val="en-US" w:eastAsia="zh-CN"/>
              </w:rPr>
              <w:t>20</w:t>
            </w:r>
          </w:p>
        </w:tc>
        <w:tc>
          <w:tcPr>
            <w:tcW w:w="829"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88" w:type="dxa"/>
            <w:vMerge w:val="continue"/>
            <w:vAlign w:val="center"/>
          </w:tcPr>
          <w:p>
            <w:pPr>
              <w:rPr>
                <w:sz w:val="21"/>
                <w:szCs w:val="21"/>
              </w:rPr>
            </w:pPr>
          </w:p>
        </w:tc>
        <w:tc>
          <w:tcPr>
            <w:tcW w:w="1032" w:type="dxa"/>
            <w:vMerge w:val="continue"/>
            <w:vAlign w:val="center"/>
          </w:tcPr>
          <w:p>
            <w:pPr>
              <w:rPr>
                <w:sz w:val="21"/>
                <w:szCs w:val="21"/>
              </w:rPr>
            </w:pPr>
          </w:p>
        </w:tc>
        <w:tc>
          <w:tcPr>
            <w:tcW w:w="10760" w:type="dxa"/>
            <w:vAlign w:val="center"/>
          </w:tcPr>
          <w:p>
            <w:pPr>
              <w:spacing w:beforeLines="25" w:afterLines="25"/>
              <w:rPr>
                <w:rFonts w:hint="eastAsia" w:eastAsia="宋体"/>
                <w:sz w:val="21"/>
                <w:szCs w:val="21"/>
                <w:lang w:eastAsia="zh-CN"/>
              </w:rPr>
            </w:pPr>
            <w:r>
              <w:rPr>
                <w:rFonts w:hint="eastAsia"/>
                <w:sz w:val="21"/>
                <w:szCs w:val="21"/>
              </w:rPr>
              <w:t>审核条款：</w:t>
            </w:r>
            <w:r>
              <w:rPr>
                <w:rFonts w:hint="eastAsia"/>
                <w:sz w:val="21"/>
                <w:szCs w:val="21"/>
                <w:lang w:eastAsia="zh-CN"/>
              </w:rPr>
              <w:t>远程</w:t>
            </w:r>
            <w:r>
              <w:rPr>
                <w:rFonts w:hint="eastAsia"/>
                <w:sz w:val="21"/>
                <w:szCs w:val="21"/>
              </w:rPr>
              <w:t>基本情况（包括</w:t>
            </w:r>
            <w:r>
              <w:rPr>
                <w:rFonts w:hint="eastAsia"/>
                <w:sz w:val="21"/>
                <w:szCs w:val="21"/>
                <w:lang w:val="en-US" w:eastAsia="zh-CN"/>
              </w:rPr>
              <w:t>产品实现</w:t>
            </w:r>
            <w:r>
              <w:rPr>
                <w:rFonts w:hint="eastAsia"/>
                <w:sz w:val="21"/>
                <w:szCs w:val="21"/>
              </w:rPr>
              <w:t>流程、设备、监视和测量设备等）资源的配置、特殊过程识别</w:t>
            </w:r>
            <w:r>
              <w:rPr>
                <w:rFonts w:hint="eastAsia"/>
                <w:sz w:val="21"/>
                <w:szCs w:val="21"/>
                <w:lang w:eastAsia="zh-CN"/>
              </w:rPr>
              <w:t>；</w:t>
            </w:r>
          </w:p>
          <w:p>
            <w:pPr>
              <w:spacing w:line="360" w:lineRule="auto"/>
              <w:jc w:val="both"/>
              <w:rPr>
                <w:rFonts w:hint="default"/>
                <w:sz w:val="21"/>
                <w:szCs w:val="21"/>
                <w:lang w:val="en-US" w:eastAsia="zh-CN"/>
              </w:rPr>
            </w:pPr>
            <w:r>
              <w:rPr>
                <w:rFonts w:hint="eastAsia"/>
                <w:sz w:val="21"/>
                <w:szCs w:val="21"/>
                <w:lang w:val="en-US" w:eastAsia="zh-CN"/>
              </w:rPr>
              <w:t>了解对相关方及需求的识别；了解是否有外包?</w:t>
            </w:r>
          </w:p>
          <w:p>
            <w:pPr>
              <w:spacing w:line="360" w:lineRule="auto"/>
              <w:jc w:val="both"/>
              <w:rPr>
                <w:rFonts w:hint="eastAsia"/>
                <w:sz w:val="21"/>
                <w:szCs w:val="21"/>
                <w:lang w:val="en-US" w:eastAsia="zh-CN"/>
              </w:rPr>
            </w:pPr>
            <w:r>
              <w:rPr>
                <w:rFonts w:hint="eastAsia"/>
                <w:sz w:val="21"/>
                <w:szCs w:val="21"/>
              </w:rPr>
              <w:t>了解受审核方采购</w:t>
            </w:r>
            <w:r>
              <w:rPr>
                <w:rFonts w:hint="eastAsia"/>
                <w:sz w:val="21"/>
                <w:szCs w:val="21"/>
                <w:lang w:eastAsia="zh-CN"/>
              </w:rPr>
              <w:t>涉及的质量、环境、职业健康安全的相关活动</w:t>
            </w:r>
          </w:p>
          <w:p>
            <w:pPr>
              <w:rPr>
                <w:sz w:val="21"/>
                <w:szCs w:val="21"/>
              </w:rPr>
            </w:pPr>
            <w:r>
              <w:rPr>
                <w:rFonts w:hint="eastAsia"/>
                <w:sz w:val="21"/>
                <w:szCs w:val="21"/>
                <w:lang w:val="en-US" w:eastAsia="zh-CN"/>
              </w:rPr>
              <w:t>涉及条款：Q</w:t>
            </w:r>
            <w:r>
              <w:rPr>
                <w:rFonts w:hint="eastAsia"/>
                <w:sz w:val="21"/>
                <w:szCs w:val="21"/>
              </w:rPr>
              <w:t>7.1.3/7.1.4/7.1.5/8.1</w:t>
            </w:r>
            <w:r>
              <w:rPr>
                <w:rFonts w:hint="eastAsia"/>
                <w:sz w:val="21"/>
                <w:szCs w:val="21"/>
                <w:lang w:val="en-US" w:eastAsia="zh-CN"/>
              </w:rPr>
              <w:t>/8.4</w:t>
            </w:r>
            <w:r>
              <w:rPr>
                <w:rFonts w:hint="eastAsia"/>
                <w:sz w:val="21"/>
                <w:szCs w:val="21"/>
              </w:rPr>
              <w:t>/8.5.1</w:t>
            </w:r>
            <w:r>
              <w:rPr>
                <w:rFonts w:hint="eastAsia"/>
                <w:sz w:val="21"/>
                <w:szCs w:val="21"/>
                <w:lang w:eastAsia="zh-CN"/>
              </w:rPr>
              <w:t>；</w:t>
            </w:r>
            <w:r>
              <w:rPr>
                <w:rFonts w:hint="eastAsia"/>
                <w:sz w:val="21"/>
                <w:szCs w:val="21"/>
                <w:lang w:val="en-US" w:eastAsia="zh-CN"/>
              </w:rPr>
              <w:t>EO6.1.2 ；O8.1.4</w:t>
            </w:r>
          </w:p>
        </w:tc>
        <w:tc>
          <w:tcPr>
            <w:tcW w:w="829" w:type="dxa"/>
            <w:vMerge w:val="continue"/>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088" w:type="dxa"/>
            <w:vAlign w:val="top"/>
          </w:tcPr>
          <w:p>
            <w:pPr>
              <w:keepNext w:val="0"/>
              <w:keepLines w:val="0"/>
              <w:widowControl/>
              <w:suppressLineNumbers w:val="0"/>
              <w:jc w:val="left"/>
              <w:rPr>
                <w:sz w:val="21"/>
                <w:szCs w:val="21"/>
              </w:rPr>
            </w:pPr>
            <w:r>
              <w:rPr>
                <w:rFonts w:hint="eastAsia"/>
              </w:rPr>
              <w:t>7.1.3基础设施</w:t>
            </w:r>
          </w:p>
        </w:tc>
        <w:tc>
          <w:tcPr>
            <w:tcW w:w="1032" w:type="dxa"/>
            <w:vAlign w:val="top"/>
          </w:tcPr>
          <w:p>
            <w:pPr>
              <w:pStyle w:val="2"/>
              <w:rPr>
                <w:rFonts w:hint="default" w:eastAsia="宋体"/>
                <w:sz w:val="21"/>
                <w:szCs w:val="21"/>
                <w:lang w:val="en-US" w:eastAsia="zh-CN"/>
              </w:rPr>
            </w:pPr>
            <w:r>
              <w:rPr>
                <w:rFonts w:hint="eastAsia"/>
                <w:sz w:val="21"/>
                <w:szCs w:val="21"/>
                <w:lang w:val="en-US" w:eastAsia="zh-CN"/>
              </w:rPr>
              <w:t>Q</w:t>
            </w:r>
            <w:r>
              <w:rPr>
                <w:rFonts w:hint="eastAsia"/>
                <w:sz w:val="21"/>
                <w:szCs w:val="21"/>
              </w:rPr>
              <w:t>7.1.3</w:t>
            </w:r>
          </w:p>
        </w:tc>
        <w:tc>
          <w:tcPr>
            <w:tcW w:w="10760" w:type="dxa"/>
            <w:vAlign w:val="top"/>
          </w:tcPr>
          <w:p>
            <w:pPr>
              <w:adjustRightInd w:val="0"/>
              <w:spacing w:line="360" w:lineRule="auto"/>
              <w:jc w:val="left"/>
              <w:rPr>
                <w:rFonts w:hint="default" w:eastAsia="宋体"/>
                <w:sz w:val="21"/>
                <w:szCs w:val="21"/>
                <w:lang w:val="en-US" w:eastAsia="zh-CN"/>
              </w:rPr>
            </w:pPr>
            <w:r>
              <w:rPr>
                <w:rFonts w:hint="eastAsia"/>
                <w:sz w:val="21"/>
                <w:szCs w:val="21"/>
                <w:lang w:val="en-US" w:eastAsia="zh-CN"/>
              </w:rPr>
              <w:t>基础设施有：用作超市的房屋、货架 、小推车、制冷设备、收款设备等，并提供维修保养制度。</w:t>
            </w:r>
          </w:p>
        </w:tc>
        <w:tc>
          <w:tcPr>
            <w:tcW w:w="829" w:type="dxa"/>
          </w:tcPr>
          <w:p>
            <w:pPr>
              <w:pStyle w:val="2"/>
              <w:rPr>
                <w:sz w:val="21"/>
                <w:szCs w:val="21"/>
              </w:rPr>
            </w:pPr>
          </w:p>
          <w:p>
            <w:pPr>
              <w:pStyle w:val="2"/>
              <w:rPr>
                <w:rFonts w:hint="default" w:eastAsia="宋体"/>
                <w:sz w:val="21"/>
                <w:szCs w:val="21"/>
                <w:lang w:val="en-US" w:eastAsia="zh-CN"/>
              </w:rPr>
            </w:pPr>
            <w:r>
              <w:rPr>
                <w:rFonts w:hint="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88" w:type="dxa"/>
            <w:vAlign w:val="top"/>
          </w:tcPr>
          <w:p>
            <w:pPr>
              <w:keepNext w:val="0"/>
              <w:keepLines w:val="0"/>
              <w:widowControl/>
              <w:suppressLineNumbers w:val="0"/>
              <w:jc w:val="left"/>
              <w:rPr>
                <w:rFonts w:hint="eastAsia"/>
              </w:rPr>
            </w:pPr>
            <w:r>
              <w:rPr>
                <w:rFonts w:hint="eastAsia"/>
              </w:rPr>
              <w:t>7.1.4过程运行环境</w:t>
            </w:r>
          </w:p>
        </w:tc>
        <w:tc>
          <w:tcPr>
            <w:tcW w:w="1032" w:type="dxa"/>
            <w:vAlign w:val="top"/>
          </w:tcPr>
          <w:p>
            <w:pPr>
              <w:pStyle w:val="2"/>
              <w:rPr>
                <w:rFonts w:hint="eastAsia"/>
                <w:sz w:val="21"/>
                <w:szCs w:val="21"/>
                <w:lang w:val="en-US" w:eastAsia="zh-CN"/>
              </w:rPr>
            </w:pPr>
            <w:r>
              <w:rPr>
                <w:rFonts w:hint="eastAsia"/>
                <w:sz w:val="21"/>
                <w:szCs w:val="21"/>
                <w:lang w:val="en-US" w:eastAsia="zh-CN"/>
              </w:rPr>
              <w:t>Q</w:t>
            </w:r>
            <w:r>
              <w:rPr>
                <w:rFonts w:hint="eastAsia"/>
                <w:sz w:val="21"/>
                <w:szCs w:val="21"/>
              </w:rPr>
              <w:t>7.1.4</w:t>
            </w:r>
          </w:p>
        </w:tc>
        <w:tc>
          <w:tcPr>
            <w:tcW w:w="10760" w:type="dxa"/>
            <w:vAlign w:val="top"/>
          </w:tcPr>
          <w:p>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经远程询查得知超市中的环境要求：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食品验收的场所、设备应当保持清洁，定期清扫，无积尘、无食品残渣，无霉斑、鼠迹、苍蝇、蟑螂，不得存放有毒、有害物品（如：杀鼠剂、杀虫剂、洗涤剂、消毒剂等）及个人生活用品。</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食品验收时应当注意按生产单位、品种分别放置于食品专用栈板上，保证商品分类、分架。做到生熟食品分开，避免交叉污染。</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在本环节中应保证冷藏食品脱离冷链时间不得超过20分钟，冷冻食品脱离冷链时间不得超过30分钟。</w:t>
            </w:r>
          </w:p>
          <w:p>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根据公司作业的具体需要，公司考虑工作环境中必要的人性和生理因素，确保员工的职业安全、健康和心情愉快，包括：没有不歧视、和谐稳定、不对抗；员工没有低压力、有倦怠预防、有情感保护；超市中温度、热度、湿度、照明、空气流通、卫生、噪音符合要求</w:t>
            </w:r>
          </w:p>
        </w:tc>
        <w:tc>
          <w:tcPr>
            <w:tcW w:w="829" w:type="dxa"/>
          </w:tcPr>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default"/>
                <w:sz w:val="21"/>
                <w:szCs w:val="21"/>
                <w:lang w:val="en-US" w:eastAsia="zh-CN"/>
              </w:rPr>
            </w:pPr>
            <w:r>
              <w:rPr>
                <w:rFonts w:hint="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88" w:type="dxa"/>
            <w:vAlign w:val="top"/>
          </w:tcPr>
          <w:p>
            <w:pPr>
              <w:keepNext w:val="0"/>
              <w:keepLines w:val="0"/>
              <w:widowControl/>
              <w:suppressLineNumbers w:val="0"/>
              <w:jc w:val="left"/>
              <w:rPr>
                <w:rFonts w:hint="eastAsia"/>
              </w:rPr>
            </w:pPr>
            <w:r>
              <w:rPr>
                <w:rFonts w:hint="eastAsia"/>
              </w:rPr>
              <w:t>7.1.5监视和测量资源</w:t>
            </w:r>
          </w:p>
        </w:tc>
        <w:tc>
          <w:tcPr>
            <w:tcW w:w="1032" w:type="dxa"/>
            <w:vAlign w:val="top"/>
          </w:tcPr>
          <w:p>
            <w:pPr>
              <w:pStyle w:val="2"/>
              <w:rPr>
                <w:rFonts w:hint="eastAsia"/>
                <w:sz w:val="21"/>
                <w:szCs w:val="21"/>
                <w:lang w:val="en-US" w:eastAsia="zh-CN"/>
              </w:rPr>
            </w:pPr>
            <w:r>
              <w:rPr>
                <w:rFonts w:hint="eastAsia"/>
                <w:sz w:val="21"/>
                <w:szCs w:val="21"/>
                <w:lang w:val="en-US" w:eastAsia="zh-CN"/>
              </w:rPr>
              <w:t>Q</w:t>
            </w:r>
            <w:r>
              <w:rPr>
                <w:rFonts w:hint="eastAsia"/>
                <w:sz w:val="21"/>
                <w:szCs w:val="21"/>
              </w:rPr>
              <w:t>7.1.5</w:t>
            </w:r>
          </w:p>
        </w:tc>
        <w:tc>
          <w:tcPr>
            <w:tcW w:w="10760"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企业有监视设备、收款设备。</w:t>
            </w:r>
          </w:p>
          <w:p>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经远程查问监视和测量设备完好</w:t>
            </w:r>
          </w:p>
        </w:tc>
        <w:tc>
          <w:tcPr>
            <w:tcW w:w="829" w:type="dxa"/>
          </w:tcPr>
          <w:p>
            <w:pPr>
              <w:pStyle w:val="2"/>
              <w:rPr>
                <w:rFonts w:hint="eastAsia"/>
                <w:sz w:val="21"/>
                <w:szCs w:val="21"/>
                <w:lang w:val="en-US" w:eastAsia="zh-CN"/>
              </w:rPr>
            </w:pPr>
          </w:p>
          <w:p>
            <w:pPr>
              <w:pStyle w:val="2"/>
              <w:ind w:firstLine="230" w:firstLineChars="100"/>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88" w:type="dxa"/>
            <w:vAlign w:val="top"/>
          </w:tcPr>
          <w:p>
            <w:pPr>
              <w:keepNext w:val="0"/>
              <w:keepLines w:val="0"/>
              <w:widowControl/>
              <w:suppressLineNumbers w:val="0"/>
              <w:jc w:val="left"/>
              <w:rPr>
                <w:rFonts w:hint="eastAsia"/>
              </w:rPr>
            </w:pPr>
            <w:r>
              <w:rPr>
                <w:rFonts w:hint="eastAsia"/>
              </w:rPr>
              <w:t>运行策划和控制</w:t>
            </w:r>
          </w:p>
        </w:tc>
        <w:tc>
          <w:tcPr>
            <w:tcW w:w="1032" w:type="dxa"/>
            <w:vAlign w:val="top"/>
          </w:tcPr>
          <w:p>
            <w:pPr>
              <w:pStyle w:val="2"/>
              <w:rPr>
                <w:rFonts w:hint="eastAsia"/>
                <w:sz w:val="21"/>
                <w:szCs w:val="21"/>
                <w:lang w:val="en-US" w:eastAsia="zh-CN"/>
              </w:rPr>
            </w:pPr>
            <w:r>
              <w:rPr>
                <w:rFonts w:hint="eastAsia"/>
                <w:sz w:val="21"/>
                <w:szCs w:val="21"/>
                <w:lang w:val="en-US" w:eastAsia="zh-CN"/>
              </w:rPr>
              <w:t>Q</w:t>
            </w:r>
            <w:r>
              <w:rPr>
                <w:rFonts w:hint="eastAsia"/>
                <w:sz w:val="21"/>
                <w:szCs w:val="21"/>
              </w:rPr>
              <w:t>8.1</w:t>
            </w:r>
          </w:p>
        </w:tc>
        <w:tc>
          <w:tcPr>
            <w:tcW w:w="10760"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申领《食品流通许可证》和《营业执照》，取得食品经营资格；</w:t>
            </w:r>
          </w:p>
          <w:p>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按照《索证索票制度》和《协议准入制度》的要求对食品供应商进行资格审验，验明所进食品的“三证”、合格检验报告等证明文件；</w:t>
            </w:r>
          </w:p>
          <w:p>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按照《进货检查验收制度》的要求对食品质量进行检查，并按照《进货台账制度》对购进食品的名称、规格、数量、生产批号、保质期、供货者名称及联系方式、进货日期等内容进行登记，建立台账；</w:t>
            </w:r>
          </w:p>
          <w:p>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按照《销货台账制度》和《质量自检制度》的要求，对销售食品进行登记检查，定期检查库存食品，及时清理变质或超过保质期的食品，严格执行《不合格产品退市制度》；</w:t>
            </w:r>
          </w:p>
          <w:p>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按照《食品安全信息公开制度》的要求公示经销食品的安全信息，确保经销食品安全信息准确、有效、发现食品安全不稳定因素的，及时向有关部门报告，并停止销售；</w:t>
            </w:r>
          </w:p>
        </w:tc>
        <w:tc>
          <w:tcPr>
            <w:tcW w:w="829" w:type="dxa"/>
          </w:tcPr>
          <w:p>
            <w:pPr>
              <w:pStyle w:val="2"/>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88" w:type="dxa"/>
            <w:vAlign w:val="top"/>
          </w:tcPr>
          <w:p>
            <w:pPr>
              <w:keepNext w:val="0"/>
              <w:keepLines w:val="0"/>
              <w:widowControl/>
              <w:suppressLineNumbers w:val="0"/>
              <w:jc w:val="left"/>
              <w:rPr>
                <w:rFonts w:hint="eastAsia"/>
              </w:rPr>
            </w:pPr>
            <w:r>
              <w:rPr>
                <w:rFonts w:hint="eastAsia"/>
              </w:rPr>
              <w:t>外部提供的过程、产品和服务的控制</w:t>
            </w:r>
          </w:p>
        </w:tc>
        <w:tc>
          <w:tcPr>
            <w:tcW w:w="1032" w:type="dxa"/>
            <w:vAlign w:val="top"/>
          </w:tcPr>
          <w:p>
            <w:pPr>
              <w:pStyle w:val="2"/>
              <w:rPr>
                <w:rFonts w:hint="eastAsia"/>
                <w:sz w:val="21"/>
                <w:szCs w:val="21"/>
                <w:lang w:val="en-US" w:eastAsia="zh-CN"/>
              </w:rPr>
            </w:pPr>
            <w:r>
              <w:rPr>
                <w:rFonts w:hint="eastAsia"/>
                <w:sz w:val="21"/>
                <w:szCs w:val="21"/>
                <w:lang w:val="en-US" w:eastAsia="zh-CN"/>
              </w:rPr>
              <w:t>Q8.4</w:t>
            </w:r>
          </w:p>
          <w:p>
            <w:pPr>
              <w:pStyle w:val="2"/>
              <w:rPr>
                <w:rFonts w:hint="default"/>
                <w:sz w:val="21"/>
                <w:szCs w:val="21"/>
                <w:lang w:val="en-US" w:eastAsia="zh-CN"/>
              </w:rPr>
            </w:pPr>
            <w:r>
              <w:rPr>
                <w:rFonts w:hint="eastAsia"/>
                <w:sz w:val="21"/>
                <w:szCs w:val="21"/>
                <w:lang w:val="en-US" w:eastAsia="zh-CN"/>
              </w:rPr>
              <w:t>O8.1.4</w:t>
            </w:r>
          </w:p>
        </w:tc>
        <w:tc>
          <w:tcPr>
            <w:tcW w:w="10760" w:type="dxa"/>
            <w:vAlign w:val="top"/>
          </w:tcPr>
          <w:p>
            <w:pPr>
              <w:spacing w:line="360" w:lineRule="auto"/>
              <w:ind w:firstLine="420" w:firstLineChars="200"/>
              <w:rPr>
                <w:rFonts w:hint="eastAsia"/>
                <w:lang w:val="en-US" w:eastAsia="zh-CN"/>
              </w:rPr>
            </w:pPr>
            <w:r>
              <w:rPr>
                <w:rFonts w:hint="eastAsia"/>
                <w:lang w:val="en-US" w:eastAsia="zh-CN"/>
              </w:rPr>
              <w:t>提供《合格供方名录》，对供方进行了合格评价，</w:t>
            </w:r>
          </w:p>
          <w:p>
            <w:pPr>
              <w:spacing w:line="360" w:lineRule="auto"/>
              <w:ind w:firstLine="420" w:firstLineChars="200"/>
              <w:rPr>
                <w:rFonts w:hint="eastAsia"/>
                <w:lang w:val="en-US" w:eastAsia="zh-CN"/>
              </w:rPr>
            </w:pPr>
            <w:r>
              <w:rPr>
                <w:rFonts w:hint="eastAsia"/>
                <w:lang w:val="en-US" w:eastAsia="zh-CN"/>
              </w:rPr>
              <w:t>供应商审核</w:t>
            </w:r>
          </w:p>
          <w:p>
            <w:pPr>
              <w:spacing w:line="360" w:lineRule="auto"/>
              <w:ind w:firstLine="420" w:firstLineChars="200"/>
              <w:rPr>
                <w:rFonts w:hint="eastAsia"/>
                <w:lang w:val="en-US" w:eastAsia="zh-CN"/>
              </w:rPr>
            </w:pPr>
            <w:r>
              <w:rPr>
                <w:rFonts w:hint="eastAsia"/>
                <w:lang w:val="en-US" w:eastAsia="zh-CN"/>
              </w:rPr>
              <w:t>供应商引进的条件</w:t>
            </w:r>
          </w:p>
          <w:p>
            <w:pPr>
              <w:spacing w:line="360" w:lineRule="auto"/>
              <w:ind w:firstLine="420" w:firstLineChars="200"/>
              <w:rPr>
                <w:rFonts w:hint="eastAsia"/>
                <w:lang w:val="en-US" w:eastAsia="zh-CN"/>
              </w:rPr>
            </w:pPr>
            <w:r>
              <w:rPr>
                <w:rFonts w:hint="eastAsia"/>
                <w:lang w:val="en-US" w:eastAsia="zh-CN"/>
              </w:rPr>
              <w:t>公司有明确的供应商引进标准。</w:t>
            </w:r>
          </w:p>
          <w:p>
            <w:pPr>
              <w:spacing w:line="360" w:lineRule="auto"/>
              <w:ind w:firstLine="420" w:firstLineChars="200"/>
              <w:rPr>
                <w:rFonts w:hint="eastAsia"/>
                <w:lang w:val="en-US" w:eastAsia="zh-CN"/>
              </w:rPr>
            </w:pPr>
            <w:r>
              <w:rPr>
                <w:rFonts w:hint="eastAsia"/>
                <w:lang w:val="en-US" w:eastAsia="zh-CN"/>
              </w:rPr>
              <w:t>资质审核</w:t>
            </w:r>
          </w:p>
          <w:p>
            <w:pPr>
              <w:spacing w:line="360" w:lineRule="auto"/>
              <w:ind w:firstLine="420" w:firstLineChars="200"/>
              <w:rPr>
                <w:rFonts w:hint="eastAsia"/>
                <w:lang w:val="en-US" w:eastAsia="zh-CN"/>
              </w:rPr>
            </w:pPr>
            <w:r>
              <w:rPr>
                <w:rFonts w:hint="eastAsia"/>
                <w:lang w:val="en-US" w:eastAsia="zh-CN"/>
              </w:rPr>
              <w:t>1、了解供应商的企业资质信用情况。</w:t>
            </w:r>
          </w:p>
          <w:p>
            <w:pPr>
              <w:spacing w:line="360" w:lineRule="auto"/>
              <w:ind w:firstLine="420" w:firstLineChars="200"/>
              <w:rPr>
                <w:rFonts w:hint="eastAsia"/>
                <w:lang w:val="en-US" w:eastAsia="zh-CN"/>
              </w:rPr>
            </w:pPr>
            <w:r>
              <w:rPr>
                <w:rFonts w:hint="eastAsia"/>
                <w:lang w:val="en-US" w:eastAsia="zh-CN"/>
              </w:rPr>
              <w:t>2、主要审核的资质材料：</w:t>
            </w:r>
          </w:p>
          <w:p>
            <w:pPr>
              <w:spacing w:line="360" w:lineRule="auto"/>
              <w:ind w:firstLine="420" w:firstLineChars="200"/>
              <w:rPr>
                <w:rFonts w:hint="eastAsia"/>
                <w:lang w:val="en-US" w:eastAsia="zh-CN"/>
              </w:rPr>
            </w:pPr>
            <w:r>
              <w:rPr>
                <w:rFonts w:hint="eastAsia"/>
                <w:lang w:val="en-US" w:eastAsia="zh-CN"/>
              </w:rPr>
              <w:t>供应商营业执照副本；税务登记证；一般纳税人证书；组织机构代码；卫生许可证；企业执行标准；生产许可证。</w:t>
            </w:r>
          </w:p>
          <w:p>
            <w:pPr>
              <w:spacing w:line="360" w:lineRule="auto"/>
              <w:ind w:firstLine="420" w:firstLineChars="200"/>
              <w:rPr>
                <w:rFonts w:hint="eastAsia"/>
                <w:lang w:val="en-US" w:eastAsia="zh-CN"/>
              </w:rPr>
            </w:pPr>
            <w:r>
              <w:rPr>
                <w:rFonts w:hint="eastAsia"/>
                <w:lang w:val="en-US" w:eastAsia="zh-CN"/>
              </w:rPr>
              <w:t>进口商品在国内未进行商标注册的，进口商要出示承诺书，注明该类商品今后涉及的一切侵权、冒用商标等行为均由进口商承担。供应商为进出口贸易公司时：中华人民共和国外商投资企业批准证书或对外贸易经营者备案登记表；生产商生产许可证；自有品牌需提供全国工业产品生产许可证委托加工备案申请书。</w:t>
            </w:r>
          </w:p>
          <w:p>
            <w:pPr>
              <w:spacing w:line="360" w:lineRule="auto"/>
              <w:ind w:firstLine="420" w:firstLineChars="200"/>
              <w:rPr>
                <w:rFonts w:hint="eastAsia"/>
                <w:lang w:val="en-US" w:eastAsia="zh-CN"/>
              </w:rPr>
            </w:pPr>
            <w:r>
              <w:rPr>
                <w:rFonts w:hint="eastAsia"/>
                <w:lang w:val="en-US" w:eastAsia="zh-CN"/>
              </w:rPr>
              <w:t>3、全部资质材料应查看正本，同时留企业盖章复印件。</w:t>
            </w:r>
          </w:p>
          <w:p>
            <w:pPr>
              <w:spacing w:line="360" w:lineRule="auto"/>
              <w:ind w:firstLine="420" w:firstLineChars="200"/>
              <w:rPr>
                <w:rFonts w:hint="eastAsia"/>
                <w:lang w:val="en-US" w:eastAsia="zh-CN"/>
              </w:rPr>
            </w:pPr>
            <w:r>
              <w:rPr>
                <w:rFonts w:hint="eastAsia"/>
                <w:lang w:val="en-US" w:eastAsia="zh-CN"/>
              </w:rPr>
              <w:t>4、供应商经营范围应在资质材料中限定的有效范围内。</w:t>
            </w:r>
          </w:p>
          <w:p>
            <w:pPr>
              <w:spacing w:line="360" w:lineRule="auto"/>
              <w:ind w:firstLine="420" w:firstLineChars="200"/>
              <w:rPr>
                <w:rFonts w:hint="eastAsia"/>
                <w:lang w:val="en-US" w:eastAsia="zh-CN"/>
              </w:rPr>
            </w:pPr>
            <w:r>
              <w:rPr>
                <w:rFonts w:hint="eastAsia"/>
                <w:lang w:val="en-US" w:eastAsia="zh-CN"/>
              </w:rPr>
              <w:t>5、商标注册人应与营业执照注册人一致、如不一致则需核准转让注册商标证明。</w:t>
            </w:r>
          </w:p>
          <w:p>
            <w:pPr>
              <w:spacing w:line="360" w:lineRule="auto"/>
              <w:ind w:firstLine="420" w:firstLineChars="200"/>
              <w:rPr>
                <w:rFonts w:hint="eastAsia"/>
                <w:lang w:val="en-US" w:eastAsia="zh-CN"/>
              </w:rPr>
            </w:pPr>
            <w:r>
              <w:rPr>
                <w:rFonts w:hint="eastAsia"/>
                <w:lang w:val="en-US" w:eastAsia="zh-CN"/>
              </w:rPr>
              <w:t>对供应商的评估审核</w:t>
            </w:r>
          </w:p>
          <w:p>
            <w:pPr>
              <w:spacing w:line="360" w:lineRule="auto"/>
              <w:ind w:firstLine="420" w:firstLineChars="200"/>
              <w:rPr>
                <w:rFonts w:hint="eastAsia"/>
                <w:lang w:val="en-US" w:eastAsia="zh-CN"/>
              </w:rPr>
            </w:pPr>
            <w:r>
              <w:rPr>
                <w:rFonts w:hint="eastAsia"/>
                <w:lang w:val="en-US" w:eastAsia="zh-CN"/>
              </w:rPr>
              <w:t>1、采购人员在供应商自评的基础上，依据同行业标准或企业执行标准，通过照片、图片、其他资料，进行考评。</w:t>
            </w:r>
          </w:p>
          <w:p>
            <w:pPr>
              <w:spacing w:line="360" w:lineRule="auto"/>
              <w:ind w:firstLine="420" w:firstLineChars="200"/>
              <w:rPr>
                <w:rFonts w:hint="eastAsia"/>
                <w:lang w:val="en-US" w:eastAsia="zh-CN"/>
              </w:rPr>
            </w:pPr>
            <w:r>
              <w:rPr>
                <w:rFonts w:hint="eastAsia"/>
                <w:lang w:val="en-US" w:eastAsia="zh-CN"/>
              </w:rPr>
              <w:t>2、食品安全管理部门对上报材料进行复评，并有一定比例的抽检，对供应商进行实地考察。实地考察项目应具体明确。</w:t>
            </w:r>
          </w:p>
          <w:p>
            <w:pPr>
              <w:spacing w:line="360" w:lineRule="auto"/>
              <w:ind w:firstLine="420" w:firstLineChars="200"/>
              <w:rPr>
                <w:rFonts w:hint="eastAsia"/>
                <w:lang w:val="en-US" w:eastAsia="zh-CN"/>
              </w:rPr>
            </w:pPr>
            <w:r>
              <w:rPr>
                <w:rFonts w:hint="eastAsia"/>
                <w:lang w:val="en-US" w:eastAsia="zh-CN"/>
              </w:rPr>
              <w:t>3对高风险、技术含量低、非知名品牌及自有品牌供应商进行实地考察。生产企业应严格按照企业产品执行标准的要求组织生产，确保产品的理化、卫生、感官等质量指标符合国家法律、法规和强制性标准规定。</w:t>
            </w:r>
          </w:p>
          <w:p>
            <w:pPr>
              <w:pStyle w:val="2"/>
              <w:rPr>
                <w:rFonts w:hint="eastAsia" w:asciiTheme="minorEastAsia" w:hAnsiTheme="minorEastAsia" w:eastAsiaTheme="minorEastAsia" w:cstheme="minorEastAsia"/>
                <w:color w:val="auto"/>
                <w:sz w:val="21"/>
                <w:szCs w:val="21"/>
                <w:lang w:val="en-US" w:eastAsia="zh-CN"/>
              </w:rPr>
            </w:pPr>
          </w:p>
          <w:p>
            <w:pPr>
              <w:pStyle w:val="2"/>
              <w:ind w:firstLine="46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经远程询查，公司不存在外包。</w:t>
            </w:r>
          </w:p>
        </w:tc>
        <w:tc>
          <w:tcPr>
            <w:tcW w:w="829" w:type="dxa"/>
          </w:tcPr>
          <w:p>
            <w:pPr>
              <w:pStyle w:val="2"/>
              <w:rPr>
                <w:rFonts w:hint="eastAsia"/>
                <w:sz w:val="21"/>
                <w:szCs w:val="21"/>
                <w:lang w:val="en-US" w:eastAsia="zh-CN"/>
              </w:rPr>
            </w:pPr>
          </w:p>
          <w:p>
            <w:pPr>
              <w:pStyle w:val="2"/>
              <w:rPr>
                <w:rFonts w:hint="eastAsia"/>
                <w:sz w:val="21"/>
                <w:szCs w:val="21"/>
                <w:lang w:val="en-US" w:eastAsia="zh-CN"/>
              </w:rPr>
            </w:pPr>
            <w:r>
              <w:rPr>
                <w:rFonts w:hint="eastAsia"/>
                <w:sz w:val="21"/>
                <w:szCs w:val="21"/>
                <w:lang w:val="en-US" w:eastAsia="zh-CN"/>
              </w:rPr>
              <w:t xml:space="preserve"> </w:t>
            </w:r>
          </w:p>
          <w:p>
            <w:pPr>
              <w:pStyle w:val="2"/>
              <w:rPr>
                <w:rFonts w:hint="eastAsia"/>
                <w:sz w:val="21"/>
                <w:szCs w:val="21"/>
                <w:lang w:val="en-US" w:eastAsia="zh-CN"/>
              </w:rPr>
            </w:pPr>
          </w:p>
          <w:p>
            <w:pPr>
              <w:pStyle w:val="2"/>
              <w:rPr>
                <w:rFonts w:hint="eastAsia"/>
                <w:sz w:val="21"/>
                <w:szCs w:val="21"/>
                <w:lang w:val="en-US" w:eastAsia="zh-CN"/>
              </w:rPr>
            </w:pPr>
          </w:p>
          <w:p>
            <w:pPr>
              <w:pStyle w:val="2"/>
              <w:rPr>
                <w:rFonts w:hint="default"/>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088" w:type="dxa"/>
            <w:vAlign w:val="top"/>
          </w:tcPr>
          <w:p>
            <w:pPr>
              <w:keepNext w:val="0"/>
              <w:keepLines w:val="0"/>
              <w:widowControl/>
              <w:suppressLineNumbers w:val="0"/>
              <w:jc w:val="left"/>
              <w:rPr>
                <w:rFonts w:hint="eastAsia"/>
              </w:rPr>
            </w:pPr>
            <w:r>
              <w:rPr>
                <w:rFonts w:hint="eastAsia"/>
              </w:rPr>
              <w:t>8.5.1</w:t>
            </w:r>
            <w:r>
              <w:rPr>
                <w:rFonts w:hint="eastAsia"/>
                <w:lang w:val="en-US" w:eastAsia="zh-CN"/>
              </w:rPr>
              <w:t>销售</w:t>
            </w:r>
            <w:r>
              <w:rPr>
                <w:rFonts w:hint="eastAsia"/>
              </w:rPr>
              <w:t>服务提供的控制</w:t>
            </w:r>
          </w:p>
        </w:tc>
        <w:tc>
          <w:tcPr>
            <w:tcW w:w="1032" w:type="dxa"/>
            <w:vAlign w:val="top"/>
          </w:tcPr>
          <w:p>
            <w:pPr>
              <w:pStyle w:val="2"/>
              <w:rPr>
                <w:rFonts w:hint="eastAsia"/>
                <w:sz w:val="21"/>
                <w:szCs w:val="21"/>
                <w:lang w:val="en-US" w:eastAsia="zh-CN"/>
              </w:rPr>
            </w:pPr>
            <w:r>
              <w:rPr>
                <w:rFonts w:hint="eastAsia"/>
                <w:sz w:val="21"/>
                <w:szCs w:val="21"/>
                <w:lang w:val="en-US" w:eastAsia="zh-CN"/>
              </w:rPr>
              <w:t>Q</w:t>
            </w:r>
            <w:r>
              <w:rPr>
                <w:rFonts w:hint="eastAsia"/>
                <w:sz w:val="21"/>
                <w:szCs w:val="21"/>
              </w:rPr>
              <w:t>8.5.1</w:t>
            </w:r>
          </w:p>
        </w:tc>
        <w:tc>
          <w:tcPr>
            <w:tcW w:w="10760"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制定超市经营规范，按照经营规范进行提供销售服务和控制。</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超市应建立食品储存、报废和出入库台帐，详细记录所采购食品特别食品品名、生产厂家、生产日期（批号）、进货日期、保质期、进货数量、运输包装、产品质量等信息，确保食品从采购、运输、储存到销售环节的可追溯性。</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库内储存商品粘贴或吊挂商品识别卡（标签）标识相关信息。识别卡（标签）标识信息至少包括货号、品名、制造商（供应商）、批号、数量、保质期、解冻时间及销售时限等。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超市按“先进先出”原则发货给销售部门。认真执行食品入库出库检验登记制度，做到登记清楚，日清月结，帐物相符。对库存商品应定期盘点检查，确保无过期报废食品，并做好相关台帐记录。</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冷冻和冷藏食品在装卸和出入库必须保证冷链的持续有效，任何环节中商品脱离冷链时间不得超过30分钟。对货物验收相关单据的整理应科学有效，不应有遗漏。</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商品在入库时，必须经过验收通道由收货部人员负责验收，并按进货日期分类编号，按类别存档备查。</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对库存商品定期进行保质期和质量检查，发现将过期或腐败变质商品应及时处理。</w:t>
            </w:r>
          </w:p>
          <w:p>
            <w:pPr>
              <w:spacing w:line="360" w:lineRule="auto"/>
              <w:ind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对货物的存放应有系统的管理，将货物放置在规定的区域范围内，以提高工作效率。</w:t>
            </w:r>
          </w:p>
        </w:tc>
        <w:tc>
          <w:tcPr>
            <w:tcW w:w="829" w:type="dxa"/>
          </w:tcPr>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default"/>
                <w:sz w:val="21"/>
                <w:szCs w:val="21"/>
                <w:lang w:val="en-US" w:eastAsia="zh-CN"/>
              </w:rPr>
            </w:pPr>
            <w:r>
              <w:rPr>
                <w:rFonts w:hint="eastAsia"/>
                <w:sz w:val="21"/>
                <w:szCs w:val="21"/>
                <w:lang w:val="en-US" w:eastAsia="zh-CN"/>
              </w:rPr>
              <w:t xml:space="preserve">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88" w:type="dxa"/>
            <w:vAlign w:val="top"/>
          </w:tcPr>
          <w:p>
            <w:pPr>
              <w:keepNext w:val="0"/>
              <w:keepLines w:val="0"/>
              <w:widowControl/>
              <w:suppressLineNumbers w:val="0"/>
              <w:jc w:val="left"/>
              <w:rPr>
                <w:rFonts w:hint="default" w:eastAsia="宋体"/>
                <w:lang w:val="en-US" w:eastAsia="zh-CN"/>
              </w:rPr>
            </w:pPr>
            <w:r>
              <w:rPr>
                <w:rFonts w:hint="eastAsia"/>
                <w:lang w:val="en-US" w:eastAsia="zh-CN"/>
              </w:rPr>
              <w:t>环境因素/危险源的识别和控制</w:t>
            </w:r>
          </w:p>
        </w:tc>
        <w:tc>
          <w:tcPr>
            <w:tcW w:w="1032" w:type="dxa"/>
            <w:vAlign w:val="top"/>
          </w:tcPr>
          <w:p>
            <w:pPr>
              <w:pStyle w:val="2"/>
              <w:rPr>
                <w:rFonts w:hint="eastAsia"/>
                <w:sz w:val="21"/>
                <w:szCs w:val="21"/>
                <w:lang w:val="en-US" w:eastAsia="zh-CN"/>
              </w:rPr>
            </w:pPr>
            <w:r>
              <w:rPr>
                <w:rFonts w:hint="eastAsia"/>
                <w:sz w:val="21"/>
                <w:szCs w:val="21"/>
                <w:lang w:val="en-US" w:eastAsia="zh-CN"/>
              </w:rPr>
              <w:t xml:space="preserve">EO6.1.2 </w:t>
            </w:r>
          </w:p>
        </w:tc>
        <w:tc>
          <w:tcPr>
            <w:tcW w:w="10760" w:type="dxa"/>
            <w:vAlign w:val="top"/>
          </w:tcPr>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编制了《环境因素识别与评价控制程序》，经查基本符合标准要求。</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提供《环境因素评价表》，包括固废废弃、汽车尾气排放、意外火灾等。</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可以提供《重要环境因素清单》，其中</w:t>
            </w:r>
            <w:r>
              <w:rPr>
                <w:rFonts w:hint="eastAsia"/>
                <w:lang w:val="en-US" w:eastAsia="zh-CN"/>
              </w:rPr>
              <w:t>其中重要环境因素：</w:t>
            </w:r>
            <w:r>
              <w:rPr>
                <w:rFonts w:hint="eastAsia" w:asciiTheme="minorEastAsia" w:hAnsiTheme="minorEastAsia" w:eastAsiaTheme="minorEastAsia" w:cstheme="minorEastAsia"/>
                <w:b w:val="0"/>
                <w:bCs/>
                <w:color w:val="auto"/>
                <w:sz w:val="21"/>
                <w:szCs w:val="21"/>
                <w:lang w:val="en-US" w:eastAsia="zh-CN"/>
              </w:rPr>
              <w:t>火灾后发生的环境影响、过期食品或包装物产生的固废</w:t>
            </w:r>
            <w:bookmarkStart w:id="0" w:name="_GoBack"/>
            <w:bookmarkEnd w:id="0"/>
            <w:r>
              <w:rPr>
                <w:rFonts w:hint="eastAsia" w:asciiTheme="minorEastAsia" w:hAnsiTheme="minorEastAsia" w:eastAsiaTheme="minorEastAsia" w:cstheme="minorEastAsia"/>
                <w:color w:val="auto"/>
                <w:sz w:val="21"/>
                <w:szCs w:val="21"/>
                <w:lang w:val="en-US" w:eastAsia="zh-CN"/>
              </w:rPr>
              <w:t>。</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评价基本合理并制定有控制措施。</w:t>
            </w:r>
          </w:p>
          <w:p>
            <w:pPr>
              <w:spacing w:line="360" w:lineRule="auto"/>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提供了职业健康安全危险源识别与评价表，涉及本部门的危险源包括：潜在火灾、新冠疫情。</w:t>
            </w:r>
          </w:p>
          <w:p>
            <w:pPr>
              <w:adjustRightInd w:val="0"/>
              <w:spacing w:line="360" w:lineRule="auto"/>
              <w:jc w:val="left"/>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用LEC法对识别的危险源进行评价，本部门不可接受风险：潜在火灾、新冠疫情，</w:t>
            </w:r>
          </w:p>
          <w:p>
            <w:pPr>
              <w:spacing w:line="360" w:lineRule="auto"/>
              <w:ind w:firstLine="420" w:firstLineChars="200"/>
              <w:rPr>
                <w:rFonts w:hint="eastAsia"/>
                <w:color w:val="auto"/>
                <w:lang w:val="en-US" w:eastAsia="zh-CN"/>
              </w:rPr>
            </w:pPr>
            <w:r>
              <w:rPr>
                <w:rFonts w:hint="eastAsia" w:asciiTheme="minorEastAsia" w:hAnsiTheme="minorEastAsia" w:eastAsiaTheme="minorEastAsia" w:cstheme="minorEastAsia"/>
                <w:color w:val="auto"/>
                <w:sz w:val="21"/>
                <w:szCs w:val="21"/>
                <w:lang w:val="en-US" w:eastAsia="zh-CN"/>
              </w:rPr>
              <w:t>评价基本合理并制定有控制措施。</w:t>
            </w:r>
          </w:p>
        </w:tc>
        <w:tc>
          <w:tcPr>
            <w:tcW w:w="829" w:type="dxa"/>
          </w:tcPr>
          <w:p>
            <w:pPr>
              <w:pStyle w:val="2"/>
              <w:rPr>
                <w:rFonts w:hint="eastAsia"/>
                <w:sz w:val="21"/>
                <w:szCs w:val="21"/>
                <w:lang w:val="en-US" w:eastAsia="zh-CN"/>
              </w:rPr>
            </w:pPr>
          </w:p>
          <w:p>
            <w:pPr>
              <w:pStyle w:val="2"/>
              <w:rPr>
                <w:rFonts w:hint="eastAsia"/>
                <w:sz w:val="21"/>
                <w:szCs w:val="21"/>
                <w:lang w:val="en-US" w:eastAsia="zh-CN"/>
              </w:rPr>
            </w:pPr>
          </w:p>
          <w:p>
            <w:pPr>
              <w:pStyle w:val="2"/>
              <w:rPr>
                <w:rFonts w:hint="eastAsia"/>
                <w:sz w:val="21"/>
                <w:szCs w:val="21"/>
                <w:lang w:val="en-US" w:eastAsia="zh-CN"/>
              </w:rPr>
            </w:pPr>
          </w:p>
          <w:p>
            <w:pPr>
              <w:pStyle w:val="2"/>
              <w:rPr>
                <w:rFonts w:hint="default"/>
                <w:sz w:val="21"/>
                <w:szCs w:val="21"/>
                <w:lang w:val="en-US" w:eastAsia="zh-CN"/>
              </w:rPr>
            </w:pPr>
            <w:r>
              <w:rPr>
                <w:rFonts w:hint="eastAsia"/>
                <w:sz w:val="21"/>
                <w:szCs w:val="21"/>
                <w:lang w:val="en-US" w:eastAsia="zh-CN"/>
              </w:rPr>
              <w:t xml:space="preserve">  y</w:t>
            </w:r>
          </w:p>
        </w:tc>
      </w:tr>
    </w:tbl>
    <w:p>
      <w:pPr>
        <w:pStyle w:val="4"/>
        <w:rPr>
          <w:rFonts w:hint="eastAsia"/>
          <w:sz w:val="21"/>
          <w:szCs w:val="21"/>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1"/>
        <w:rFonts w:hint="default"/>
        <w:w w:val="90"/>
      </w:rPr>
      <w:t>Beijing International Standard united Certification Co.,Ltd.</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72CA2"/>
    <w:rsid w:val="043130EE"/>
    <w:rsid w:val="07E054B4"/>
    <w:rsid w:val="07EF63EC"/>
    <w:rsid w:val="09136E22"/>
    <w:rsid w:val="0C4A4BE1"/>
    <w:rsid w:val="0F535804"/>
    <w:rsid w:val="0F5F2CA2"/>
    <w:rsid w:val="12DB5940"/>
    <w:rsid w:val="132011BC"/>
    <w:rsid w:val="15A6299A"/>
    <w:rsid w:val="18EC7036"/>
    <w:rsid w:val="19517451"/>
    <w:rsid w:val="1AB56CF2"/>
    <w:rsid w:val="2090758A"/>
    <w:rsid w:val="22C248E2"/>
    <w:rsid w:val="27D47017"/>
    <w:rsid w:val="28E1001D"/>
    <w:rsid w:val="29287B01"/>
    <w:rsid w:val="29BC0075"/>
    <w:rsid w:val="2A726582"/>
    <w:rsid w:val="2A993974"/>
    <w:rsid w:val="2BCC6C74"/>
    <w:rsid w:val="2E177B63"/>
    <w:rsid w:val="2EA56094"/>
    <w:rsid w:val="30563DE0"/>
    <w:rsid w:val="316B456C"/>
    <w:rsid w:val="32473A4C"/>
    <w:rsid w:val="330B5A81"/>
    <w:rsid w:val="348B159A"/>
    <w:rsid w:val="34CD146B"/>
    <w:rsid w:val="35875204"/>
    <w:rsid w:val="36D01390"/>
    <w:rsid w:val="37F71D8F"/>
    <w:rsid w:val="3E0D73A2"/>
    <w:rsid w:val="3F2F7D42"/>
    <w:rsid w:val="43223ED7"/>
    <w:rsid w:val="46793D72"/>
    <w:rsid w:val="469054FE"/>
    <w:rsid w:val="49464C15"/>
    <w:rsid w:val="4C330D73"/>
    <w:rsid w:val="4F794BEB"/>
    <w:rsid w:val="50513254"/>
    <w:rsid w:val="52D85EA9"/>
    <w:rsid w:val="57C60632"/>
    <w:rsid w:val="5AB24CB5"/>
    <w:rsid w:val="5B266AA5"/>
    <w:rsid w:val="5BBF3897"/>
    <w:rsid w:val="5CB555B0"/>
    <w:rsid w:val="5F13006F"/>
    <w:rsid w:val="67EF5E0C"/>
    <w:rsid w:val="68A573B7"/>
    <w:rsid w:val="6A446D2A"/>
    <w:rsid w:val="6A7B34F7"/>
    <w:rsid w:val="6ED9794E"/>
    <w:rsid w:val="73AB34AD"/>
    <w:rsid w:val="750F2076"/>
    <w:rsid w:val="76C52D96"/>
    <w:rsid w:val="77B0498B"/>
    <w:rsid w:val="7A056DC0"/>
    <w:rsid w:val="7C503703"/>
    <w:rsid w:val="7FD547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next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_Style 2"/>
    <w:basedOn w:val="1"/>
    <w:qFormat/>
    <w:uiPriority w:val="34"/>
    <w:pPr>
      <w:adjustRightInd w:val="0"/>
      <w:spacing w:line="312" w:lineRule="atLeast"/>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0</TotalTime>
  <ScaleCrop>false</ScaleCrop>
  <LinksUpToDate>false</LinksUpToDate>
  <CharactersWithSpaces>100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Joyce</cp:lastModifiedBy>
  <dcterms:modified xsi:type="dcterms:W3CDTF">2020-08-24T01:51:09Z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