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83"/>
        <w:gridCol w:w="159"/>
        <w:gridCol w:w="75"/>
        <w:gridCol w:w="101"/>
        <w:gridCol w:w="589"/>
        <w:gridCol w:w="261"/>
        <w:gridCol w:w="35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绵阳市鑫隆化工有限公司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四川省绵阳市经开区经开区文武路509号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 w:cs="宋体"/>
                <w:color w:val="000000"/>
                <w:szCs w:val="24"/>
              </w:rPr>
              <w:t xml:space="preserve">刘彦平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Q:补充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资质范围内化学品销售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2020年08月26日 下午至2020年08月26日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5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5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2020.8.25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7"/>
        <w:gridCol w:w="1646"/>
        <w:gridCol w:w="7860"/>
      </w:tblGrid>
      <w:tr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审核员：杨珍全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9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240" w:firstLineChars="10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4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4"/>
              </w:rPr>
              <w:t>证书标志的使用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，远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程审核不符合验证</w:t>
            </w:r>
            <w:r>
              <w:rPr>
                <w:rFonts w:hint="eastAsia" w:ascii="宋体" w:hAnsi="宋体" w:cs="宋体"/>
                <w:szCs w:val="24"/>
              </w:rPr>
              <w:t>。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9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5.3组织的角色、职责和权限；6.2质量目标及其实现的策划；7.1.2人员；7.2能力；7.3意识；7.5文件化信息；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9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商贸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;8.6产品和服务放行；8.5.1生产和服务提供的控制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7.1.3基础设施；7.1.4运作环境；7.1.5监视和测量资源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92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17:30-18:00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末次会：综合评价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管理体系运行总体情况及改进要求，宣告审核发现及审核结论。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13B9F"/>
    <w:rsid w:val="124F54A0"/>
    <w:rsid w:val="6ACC1226"/>
    <w:rsid w:val="7F2A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2020-08-22T09:14:31Z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