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ascii="宋体" w:hAnsi="宋体"/>
          <w:szCs w:val="21"/>
        </w:rPr>
        <w:t>中航工业南充可再生能源有限公司</w:t>
      </w:r>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552"/>
        <w:gridCol w:w="140"/>
        <w:gridCol w:w="850"/>
        <w:gridCol w:w="42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bookmarkStart w:id="4" w:name="组织名称"/>
            <w:r>
              <w:rPr>
                <w:rFonts w:hint="eastAsia"/>
                <w:b/>
                <w:sz w:val="21"/>
                <w:szCs w:val="21"/>
              </w:rPr>
              <w:t>中航工业南充可再生能源有限公司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bookmarkStart w:id="5" w:name="生产地址"/>
            <w:r>
              <w:rPr>
                <w:rFonts w:hint="eastAsia"/>
                <w:b/>
                <w:sz w:val="21"/>
                <w:szCs w:val="21"/>
              </w:rPr>
              <w:t>南充市嘉陵区李渡镇（南充化学工业园区内）</w:t>
            </w:r>
            <w:bookmarkEnd w:id="5"/>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bookmarkStart w:id="6" w:name="联系人电话"/>
            <w:r>
              <w:rPr>
                <w:b/>
                <w:sz w:val="21"/>
                <w:szCs w:val="21"/>
              </w:rPr>
              <w:t>13558886971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552" w:type="dxa"/>
            <w:vAlign w:val="center"/>
          </w:tcPr>
          <w:p>
            <w:pPr>
              <w:jc w:val="center"/>
              <w:rPr>
                <w:b/>
                <w:sz w:val="21"/>
                <w:szCs w:val="21"/>
              </w:rPr>
            </w:pPr>
            <w:r>
              <w:rPr>
                <w:rFonts w:hint="eastAsia"/>
                <w:b/>
                <w:sz w:val="21"/>
                <w:szCs w:val="21"/>
              </w:rPr>
              <w:t>审核员注册号</w:t>
            </w:r>
          </w:p>
        </w:tc>
        <w:tc>
          <w:tcPr>
            <w:tcW w:w="1417" w:type="dxa"/>
            <w:gridSpan w:val="3"/>
            <w:vAlign w:val="center"/>
          </w:tcPr>
          <w:p>
            <w:pPr>
              <w:jc w:val="center"/>
              <w:rPr>
                <w:b/>
                <w:sz w:val="21"/>
                <w:szCs w:val="21"/>
              </w:rPr>
            </w:pPr>
            <w:r>
              <w:rPr>
                <w:rFonts w:hint="eastAsia"/>
                <w:b/>
                <w:sz w:val="21"/>
                <w:szCs w:val="21"/>
              </w:rPr>
              <w:t>专业代码</w:t>
            </w:r>
          </w:p>
        </w:tc>
        <w:tc>
          <w:tcPr>
            <w:tcW w:w="1187"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E:审核员</w:t>
            </w:r>
          </w:p>
          <w:p>
            <w:pPr>
              <w:jc w:val="center"/>
              <w:rPr>
                <w:b/>
                <w:sz w:val="21"/>
                <w:szCs w:val="21"/>
              </w:rPr>
            </w:pPr>
            <w:r>
              <w:rPr>
                <w:b/>
                <w:sz w:val="21"/>
                <w:szCs w:val="21"/>
              </w:rPr>
              <w:t>Q:审核员</w:t>
            </w:r>
          </w:p>
        </w:tc>
        <w:tc>
          <w:tcPr>
            <w:tcW w:w="2552" w:type="dxa"/>
            <w:vAlign w:val="center"/>
          </w:tcPr>
          <w:p>
            <w:pPr>
              <w:jc w:val="center"/>
              <w:rPr>
                <w:b/>
                <w:sz w:val="21"/>
                <w:szCs w:val="21"/>
              </w:rPr>
            </w:pPr>
            <w:r>
              <w:rPr>
                <w:b/>
                <w:sz w:val="21"/>
                <w:szCs w:val="21"/>
              </w:rPr>
              <w:t>2019-N1OHSMS-2093566</w:t>
            </w:r>
          </w:p>
          <w:p>
            <w:pPr>
              <w:jc w:val="center"/>
              <w:rPr>
                <w:b/>
                <w:sz w:val="21"/>
                <w:szCs w:val="21"/>
              </w:rPr>
            </w:pPr>
            <w:r>
              <w:rPr>
                <w:b/>
                <w:sz w:val="21"/>
                <w:szCs w:val="21"/>
              </w:rPr>
              <w:t>2018-N1EMS-2093566</w:t>
            </w:r>
          </w:p>
          <w:p>
            <w:pPr>
              <w:jc w:val="center"/>
              <w:rPr>
                <w:b/>
                <w:sz w:val="21"/>
                <w:szCs w:val="21"/>
              </w:rPr>
            </w:pPr>
            <w:r>
              <w:rPr>
                <w:b/>
                <w:sz w:val="21"/>
                <w:szCs w:val="21"/>
              </w:rPr>
              <w:t>2019-N1QMS-3093566</w:t>
            </w:r>
          </w:p>
        </w:tc>
        <w:tc>
          <w:tcPr>
            <w:tcW w:w="1417" w:type="dxa"/>
            <w:gridSpan w:val="3"/>
            <w:vAlign w:val="center"/>
          </w:tcPr>
          <w:p>
            <w:pPr>
              <w:jc w:val="center"/>
              <w:rPr>
                <w:b/>
                <w:sz w:val="21"/>
                <w:szCs w:val="21"/>
              </w:rPr>
            </w:pPr>
            <w:r>
              <w:rPr>
                <w:b/>
                <w:sz w:val="21"/>
                <w:szCs w:val="21"/>
              </w:rPr>
              <w:t>O:25.01.01</w:t>
            </w:r>
          </w:p>
          <w:p>
            <w:pPr>
              <w:jc w:val="center"/>
              <w:rPr>
                <w:b/>
                <w:sz w:val="21"/>
                <w:szCs w:val="21"/>
              </w:rPr>
            </w:pPr>
            <w:r>
              <w:rPr>
                <w:b/>
                <w:sz w:val="21"/>
                <w:szCs w:val="21"/>
              </w:rPr>
              <w:t>E:25.01.01</w:t>
            </w:r>
          </w:p>
          <w:p>
            <w:pPr>
              <w:jc w:val="center"/>
              <w:rPr>
                <w:b/>
                <w:sz w:val="21"/>
                <w:szCs w:val="21"/>
              </w:rPr>
            </w:pPr>
            <w:r>
              <w:rPr>
                <w:b/>
                <w:sz w:val="21"/>
                <w:szCs w:val="21"/>
              </w:rPr>
              <w:t>Q:25.01.01</w:t>
            </w:r>
          </w:p>
        </w:tc>
        <w:tc>
          <w:tcPr>
            <w:tcW w:w="1187"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E:审核员</w:t>
            </w:r>
          </w:p>
          <w:p>
            <w:pPr>
              <w:jc w:val="center"/>
              <w:rPr>
                <w:b/>
                <w:sz w:val="21"/>
                <w:szCs w:val="21"/>
              </w:rPr>
            </w:pPr>
            <w:r>
              <w:rPr>
                <w:b/>
                <w:sz w:val="21"/>
                <w:szCs w:val="21"/>
              </w:rPr>
              <w:t>Q:审核员</w:t>
            </w:r>
          </w:p>
        </w:tc>
        <w:tc>
          <w:tcPr>
            <w:tcW w:w="2552" w:type="dxa"/>
            <w:vAlign w:val="center"/>
          </w:tcPr>
          <w:p>
            <w:pPr>
              <w:jc w:val="center"/>
              <w:rPr>
                <w:b/>
                <w:sz w:val="21"/>
                <w:szCs w:val="21"/>
              </w:rPr>
            </w:pPr>
            <w:r>
              <w:rPr>
                <w:b/>
                <w:sz w:val="21"/>
                <w:szCs w:val="21"/>
              </w:rPr>
              <w:t>2018-N1OHSMS-1230067</w:t>
            </w:r>
          </w:p>
          <w:p>
            <w:pPr>
              <w:jc w:val="center"/>
              <w:rPr>
                <w:b/>
                <w:sz w:val="21"/>
                <w:szCs w:val="21"/>
              </w:rPr>
            </w:pPr>
            <w:r>
              <w:rPr>
                <w:b/>
                <w:sz w:val="21"/>
                <w:szCs w:val="21"/>
              </w:rPr>
              <w:t>2018-N1EMS-1230067</w:t>
            </w:r>
          </w:p>
          <w:p>
            <w:pPr>
              <w:jc w:val="center"/>
              <w:rPr>
                <w:b/>
                <w:sz w:val="21"/>
                <w:szCs w:val="21"/>
              </w:rPr>
            </w:pPr>
            <w:r>
              <w:rPr>
                <w:b/>
                <w:sz w:val="21"/>
                <w:szCs w:val="21"/>
              </w:rPr>
              <w:t>2018-N1QMS-1230067</w:t>
            </w:r>
          </w:p>
        </w:tc>
        <w:tc>
          <w:tcPr>
            <w:tcW w:w="1417" w:type="dxa"/>
            <w:gridSpan w:val="3"/>
            <w:vAlign w:val="center"/>
          </w:tcPr>
          <w:p>
            <w:pPr>
              <w:jc w:val="center"/>
              <w:rPr>
                <w:b/>
                <w:sz w:val="21"/>
                <w:szCs w:val="21"/>
              </w:rPr>
            </w:pPr>
          </w:p>
        </w:tc>
        <w:tc>
          <w:tcPr>
            <w:tcW w:w="1187" w:type="dxa"/>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tc>
        <w:tc>
          <w:tcPr>
            <w:tcW w:w="2552" w:type="dxa"/>
            <w:vAlign w:val="center"/>
          </w:tcPr>
          <w:p>
            <w:pPr>
              <w:jc w:val="center"/>
              <w:rPr>
                <w:b/>
                <w:sz w:val="21"/>
                <w:szCs w:val="21"/>
              </w:rPr>
            </w:pPr>
            <w:r>
              <w:rPr>
                <w:b/>
                <w:sz w:val="21"/>
                <w:szCs w:val="21"/>
              </w:rPr>
              <w:t>2018-N1QMS-2207381</w:t>
            </w:r>
          </w:p>
        </w:tc>
        <w:tc>
          <w:tcPr>
            <w:tcW w:w="1417" w:type="dxa"/>
            <w:gridSpan w:val="3"/>
            <w:vAlign w:val="center"/>
          </w:tcPr>
          <w:p>
            <w:pPr>
              <w:jc w:val="center"/>
              <w:rPr>
                <w:b/>
                <w:sz w:val="21"/>
                <w:szCs w:val="21"/>
              </w:rPr>
            </w:pPr>
          </w:p>
        </w:tc>
        <w:tc>
          <w:tcPr>
            <w:tcW w:w="1187"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552" w:type="dxa"/>
          </w:tcPr>
          <w:p>
            <w:pPr>
              <w:rPr>
                <w:b/>
                <w:sz w:val="21"/>
                <w:szCs w:val="21"/>
              </w:rPr>
            </w:pPr>
          </w:p>
        </w:tc>
        <w:tc>
          <w:tcPr>
            <w:tcW w:w="1417" w:type="dxa"/>
            <w:gridSpan w:val="3"/>
          </w:tcPr>
          <w:p>
            <w:pPr>
              <w:rPr>
                <w:b/>
                <w:sz w:val="21"/>
                <w:szCs w:val="21"/>
              </w:rPr>
            </w:pPr>
          </w:p>
        </w:tc>
        <w:tc>
          <w:tcPr>
            <w:tcW w:w="1187"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7"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■保持认证注册资格：__监督1_____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7"/>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8" w:name="Q勾选15Add"/>
      <w:r>
        <w:rPr>
          <w:rFonts w:hint="eastAsia"/>
          <w:b/>
          <w:sz w:val="21"/>
          <w:szCs w:val="21"/>
        </w:rPr>
        <w:t>■</w:t>
      </w:r>
      <w:bookmarkEnd w:id="8"/>
      <w:r>
        <w:rPr>
          <w:rFonts w:hint="eastAsia"/>
          <w:b/>
          <w:sz w:val="21"/>
          <w:szCs w:val="21"/>
        </w:rPr>
        <w:t xml:space="preserve"> GB/T 19001:2016 idt ISO 9001:2015标准不适用条款: </w:t>
      </w:r>
    </w:p>
    <w:p>
      <w:pPr>
        <w:tabs>
          <w:tab w:val="left" w:pos="645"/>
        </w:tabs>
        <w:rPr>
          <w:b/>
          <w:sz w:val="21"/>
          <w:szCs w:val="21"/>
        </w:rPr>
      </w:pPr>
      <w:bookmarkStart w:id="9" w:name="QJ勾选Add"/>
      <w:r>
        <w:rPr>
          <w:rFonts w:hint="eastAsia"/>
          <w:b/>
          <w:sz w:val="21"/>
          <w:szCs w:val="21"/>
        </w:rPr>
        <w:t>□</w:t>
      </w:r>
      <w:bookmarkEnd w:id="9"/>
      <w:r>
        <w:rPr>
          <w:rFonts w:hint="eastAsia"/>
          <w:b/>
          <w:sz w:val="21"/>
          <w:szCs w:val="21"/>
        </w:rPr>
        <w:t xml:space="preserve"> GB/T 50430-2017标准不适用条款: </w:t>
      </w:r>
    </w:p>
    <w:p>
      <w:pPr>
        <w:tabs>
          <w:tab w:val="left" w:pos="645"/>
        </w:tabs>
        <w:rPr>
          <w:b/>
          <w:sz w:val="21"/>
          <w:szCs w:val="21"/>
        </w:rPr>
      </w:pPr>
      <w:bookmarkStart w:id="10" w:name="E勾选Add"/>
      <w:r>
        <w:rPr>
          <w:rFonts w:hint="eastAsia"/>
          <w:b/>
          <w:sz w:val="21"/>
          <w:szCs w:val="21"/>
        </w:rPr>
        <w:t>■</w:t>
      </w:r>
      <w:bookmarkEnd w:id="10"/>
      <w:r>
        <w:rPr>
          <w:rFonts w:hint="eastAsia"/>
          <w:b/>
          <w:sz w:val="21"/>
          <w:szCs w:val="21"/>
        </w:rPr>
        <w:t xml:space="preserve"> GB/T 24001-2016 idt ISO 14001:2015标准</w:t>
      </w:r>
    </w:p>
    <w:p>
      <w:pPr>
        <w:tabs>
          <w:tab w:val="left" w:pos="645"/>
        </w:tabs>
        <w:rPr>
          <w:b/>
          <w:sz w:val="21"/>
          <w:szCs w:val="21"/>
        </w:rPr>
      </w:pPr>
      <w:bookmarkStart w:id="11" w:name="S勾选Add"/>
      <w:r>
        <w:rPr>
          <w:rFonts w:hint="eastAsia"/>
          <w:b/>
          <w:sz w:val="21"/>
          <w:szCs w:val="21"/>
        </w:rPr>
        <w:t>■</w:t>
      </w:r>
      <w:bookmarkEnd w:id="11"/>
      <w:r>
        <w:rPr>
          <w:rFonts w:hint="eastAsia"/>
          <w:b/>
          <w:sz w:val="21"/>
          <w:szCs w:val="21"/>
        </w:rPr>
        <w:t xml:space="preserve"> GB/T 28001-2011 idt OHSMS 18001:2007标准</w:t>
      </w:r>
    </w:p>
    <w:p>
      <w:pPr>
        <w:tabs>
          <w:tab w:val="left" w:pos="645"/>
        </w:tabs>
        <w:rPr>
          <w:b/>
          <w:sz w:val="21"/>
          <w:szCs w:val="21"/>
        </w:rPr>
      </w:pPr>
      <w:bookmarkStart w:id="12" w:name="S勾选Add1"/>
      <w:r>
        <w:rPr>
          <w:rFonts w:hint="eastAsia"/>
          <w:b/>
          <w:sz w:val="21"/>
          <w:szCs w:val="21"/>
        </w:rPr>
        <w:t>■</w:t>
      </w:r>
      <w:bookmarkEnd w:id="12"/>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sz w:val="21"/>
              </w:rPr>
            </w:pPr>
            <w:bookmarkStart w:id="13" w:name="组织名称Add"/>
            <w:r>
              <w:rPr>
                <w:rFonts w:ascii="宋体"/>
                <w:b/>
                <w:sz w:val="21"/>
              </w:rPr>
              <w:t>中航工业南充可再生能源有限公司</w:t>
            </w:r>
            <w:bookmarkEnd w:id="13"/>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4" w:name="注册地址"/>
            <w:r>
              <w:rPr>
                <w:rFonts w:ascii="宋体"/>
                <w:b/>
                <w:sz w:val="21"/>
              </w:rPr>
              <w:t>南充市嘉陵区李渡镇（南充化学工业园区内）</w:t>
            </w:r>
            <w:bookmarkEnd w:id="14"/>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5" w:name="注册邮编"/>
            <w:r>
              <w:rPr>
                <w:rFonts w:ascii="宋体"/>
                <w:b/>
                <w:sz w:val="21"/>
              </w:rPr>
              <w:t>600000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6" w:name="办公地址"/>
            <w:r>
              <w:rPr>
                <w:rFonts w:ascii="宋体"/>
                <w:b/>
                <w:sz w:val="21"/>
              </w:rPr>
              <w:t>南充市嘉陵区李渡镇（南充化学工业园区内）</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办公邮编"/>
            <w:r>
              <w:rPr>
                <w:rFonts w:ascii="宋体"/>
                <w:b/>
                <w:sz w:val="21"/>
              </w:rPr>
              <w:t>600000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8" w:name="生产地址Add"/>
            <w:r>
              <w:rPr>
                <w:rFonts w:ascii="宋体"/>
                <w:b/>
                <w:sz w:val="21"/>
              </w:rPr>
              <w:t>南充市嘉陵区李渡镇（南充化学工业园区内）</w:t>
            </w:r>
            <w:bookmarkEnd w:id="18"/>
          </w:p>
        </w:tc>
        <w:tc>
          <w:tcPr>
            <w:tcW w:w="1672" w:type="dxa"/>
            <w:vMerge w:val="continue"/>
            <w:vAlign w:val="center"/>
          </w:tcPr>
          <w:p>
            <w:pPr>
              <w:jc w:val="center"/>
              <w:rPr>
                <w:rFonts w:ascii="宋体"/>
                <w:b/>
                <w:sz w:val="21"/>
              </w:rPr>
            </w:pPr>
          </w:p>
        </w:tc>
        <w:tc>
          <w:tcPr>
            <w:tcW w:w="1500" w:type="dxa"/>
          </w:tcPr>
          <w:p>
            <w:pPr>
              <w:rPr>
                <w:rFonts w:ascii="宋体"/>
                <w:b/>
                <w:sz w:val="21"/>
              </w:rPr>
            </w:pPr>
            <w:bookmarkStart w:id="19" w:name="生产邮编"/>
            <w:r>
              <w:rPr>
                <w:rFonts w:ascii="宋体"/>
                <w:b/>
                <w:sz w:val="21"/>
              </w:rPr>
              <w:t>600000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20" w:name="联系人"/>
            <w:r>
              <w:rPr>
                <w:rFonts w:ascii="宋体"/>
                <w:b/>
                <w:sz w:val="21"/>
              </w:rPr>
              <w:t>张计合</w:t>
            </w:r>
            <w:bookmarkEnd w:id="20"/>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1" w:name="联系人电话Add"/>
            <w:r>
              <w:rPr>
                <w:rFonts w:ascii="宋体"/>
                <w:b/>
                <w:sz w:val="21"/>
              </w:rPr>
              <w:t>13558886971</w:t>
            </w:r>
            <w:bookmarkEnd w:id="21"/>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3" w:name="法人"/>
            <w:r>
              <w:rPr>
                <w:rFonts w:ascii="宋体" w:hAnsi="宋体"/>
                <w:b/>
                <w:sz w:val="21"/>
                <w:szCs w:val="21"/>
              </w:rPr>
              <w:t>尹学军</w:t>
            </w:r>
            <w:bookmarkEnd w:id="23"/>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eastAsia" w:ascii="宋体" w:hAnsi="宋体" w:eastAsia="宋体"/>
                <w:b/>
                <w:sz w:val="21"/>
                <w:szCs w:val="21"/>
                <w:lang w:eastAsia="zh-CN"/>
              </w:rPr>
            </w:pPr>
            <w:r>
              <w:rPr>
                <w:rFonts w:hint="eastAsia" w:ascii="宋体" w:hAnsi="宋体"/>
                <w:b/>
                <w:sz w:val="21"/>
                <w:szCs w:val="21"/>
                <w:lang w:eastAsia="zh-CN"/>
              </w:rPr>
              <w:t>钟春</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eastAsia" w:ascii="宋体" w:eastAsia="宋体"/>
                <w:b/>
                <w:sz w:val="21"/>
                <w:lang w:eastAsia="zh-CN"/>
              </w:rPr>
            </w:pPr>
            <w:r>
              <w:rPr>
                <w:rFonts w:hint="eastAsia" w:ascii="宋体"/>
                <w:b/>
                <w:sz w:val="21"/>
                <w:lang w:eastAsia="zh-CN"/>
              </w:rPr>
              <w:t>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2019年09月18日 上午至2019年09月18日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rPr>
              <w:t>垃圾焚烧发电</w:t>
            </w:r>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r>
              <w:rPr>
                <w:rFonts w:hint="eastAsia" w:ascii="宋体" w:hAnsi="宋体"/>
              </w:rPr>
              <w:t>垃圾焚烧发电所涉及的相关环境管理活动</w:t>
            </w:r>
          </w:p>
          <w:p>
            <w:pPr>
              <w:spacing w:line="0" w:lineRule="atLeast"/>
              <w:jc w:val="lef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r>
              <w:rPr>
                <w:rFonts w:hint="eastAsia" w:ascii="宋体" w:hAnsi="宋体"/>
              </w:rPr>
              <w:t>垃圾焚烧发电所涉及的相关职业健康安全管理活动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O：25.01.01</w:t>
            </w:r>
          </w:p>
          <w:p>
            <w:pPr>
              <w:spacing w:line="260" w:lineRule="exact"/>
              <w:rPr>
                <w:rFonts w:ascii="宋体" w:hAnsi="宋体"/>
                <w:b/>
                <w:sz w:val="21"/>
                <w:szCs w:val="21"/>
              </w:rPr>
            </w:pPr>
            <w:r>
              <w:rPr>
                <w:rFonts w:ascii="宋体" w:hAnsi="宋体"/>
                <w:b/>
                <w:sz w:val="21"/>
                <w:szCs w:val="21"/>
              </w:rPr>
              <w:t>E：25.01.01</w:t>
            </w:r>
          </w:p>
          <w:p>
            <w:pPr>
              <w:spacing w:line="260" w:lineRule="exact"/>
              <w:rPr>
                <w:rFonts w:ascii="宋体" w:hAnsi="宋体"/>
                <w:b/>
                <w:sz w:val="21"/>
                <w:szCs w:val="21"/>
              </w:rPr>
            </w:pPr>
            <w:r>
              <w:rPr>
                <w:rFonts w:ascii="宋体" w:hAnsi="宋体"/>
                <w:b/>
                <w:sz w:val="21"/>
                <w:szCs w:val="21"/>
              </w:rPr>
              <w:t>Q：25.01.01</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bookmarkStart w:id="30" w:name="证书有效期"/>
            <w:r>
              <w:rPr>
                <w:rFonts w:ascii="宋体" w:hAnsi="宋体"/>
                <w:b/>
                <w:sz w:val="21"/>
                <w:szCs w:val="21"/>
              </w:rPr>
              <w:t>O:</w:t>
            </w:r>
            <w:r>
              <w:rPr>
                <w:rFonts w:hint="eastAsia" w:ascii="宋体" w:hAnsi="宋体"/>
                <w:b/>
                <w:sz w:val="21"/>
                <w:szCs w:val="21"/>
              </w:rPr>
              <w:t>2021.10.18</w:t>
            </w:r>
            <w:r>
              <w:rPr>
                <w:rFonts w:ascii="宋体" w:hAnsi="宋体"/>
                <w:b/>
                <w:sz w:val="21"/>
                <w:szCs w:val="21"/>
              </w:rPr>
              <w:t>,E:</w:t>
            </w:r>
            <w:r>
              <w:rPr>
                <w:rFonts w:hint="eastAsia" w:ascii="宋体" w:hAnsi="宋体"/>
                <w:b/>
                <w:sz w:val="21"/>
                <w:szCs w:val="21"/>
              </w:rPr>
              <w:t>2021.10.18</w:t>
            </w:r>
            <w:r>
              <w:rPr>
                <w:rFonts w:ascii="宋体" w:hAnsi="宋体"/>
                <w:b/>
                <w:sz w:val="21"/>
                <w:szCs w:val="21"/>
              </w:rPr>
              <w:t>,Q:</w:t>
            </w:r>
            <w:bookmarkEnd w:id="30"/>
            <w:r>
              <w:rPr>
                <w:rFonts w:hint="eastAsia" w:ascii="宋体" w:hAnsi="宋体"/>
                <w:b/>
                <w:sz w:val="21"/>
                <w:szCs w:val="21"/>
              </w:rPr>
              <w:t>2021.7.29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2018.7.15</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流动场所信息:无</w:t>
      </w:r>
    </w:p>
    <w:p>
      <w:pPr>
        <w:spacing w:line="0" w:lineRule="atLeast"/>
        <w:jc w:val="left"/>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bookmarkStart w:id="31" w:name="审核范围"/>
      <w:r>
        <w:rPr>
          <w:rFonts w:hint="eastAsia" w:ascii="宋体" w:hAnsi="宋体"/>
        </w:rPr>
        <w:t>垃圾焚烧发电及相关管理活动</w:t>
      </w:r>
      <w:bookmarkEnd w:id="31"/>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服务抽查：无</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本次审核覆盖时间：从上次审核结束日的2018年7月15日至2019年9月18日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2"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0" w:lineRule="atLeast"/>
              <w:jc w:val="left"/>
              <w:rPr>
                <w:rFonts w:ascii="宋体" w:hAnsi="宋体"/>
                <w:szCs w:val="21"/>
              </w:rPr>
            </w:pPr>
            <w:r>
              <w:rPr>
                <w:b/>
                <w:color w:val="000000"/>
                <w:sz w:val="20"/>
              </w:rPr>
              <w:t>1</w:t>
            </w:r>
            <w:r>
              <w:rPr>
                <w:rFonts w:hint="eastAsia"/>
                <w:b/>
                <w:color w:val="000000"/>
                <w:sz w:val="20"/>
              </w:rPr>
              <w:t>.组织及其环境的识别情况：</w:t>
            </w:r>
          </w:p>
          <w:p>
            <w:pPr>
              <w:spacing w:line="0" w:lineRule="atLeast"/>
              <w:ind w:firstLine="480" w:firstLineChars="200"/>
              <w:jc w:val="left"/>
              <w:rPr>
                <w:b/>
                <w:color w:val="000000"/>
                <w:sz w:val="21"/>
                <w:szCs w:val="21"/>
              </w:rPr>
            </w:pPr>
            <w:r>
              <w:rPr>
                <w:rFonts w:ascii="宋体" w:hAnsi="宋体"/>
                <w:szCs w:val="21"/>
              </w:rPr>
              <w:t>中航工业南充可再生能源有限公司</w:t>
            </w:r>
            <w:r>
              <w:rPr>
                <w:rFonts w:hint="eastAsia" w:ascii="宋体" w:hAnsi="宋体"/>
                <w:sz w:val="21"/>
                <w:szCs w:val="21"/>
              </w:rPr>
              <w:t>是一家专业从事垃圾发电的公司。现有员工数60多人，经营状况良好。组织对内外部因素、相关方需求和期望进行了充分的识别，策划和实施有效。确定了体系的边界，基本适用。管理体系Q8.3不适用。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b/>
                <w:color w:val="000000"/>
                <w:sz w:val="20"/>
              </w:rPr>
            </w:pPr>
            <w:r>
              <w:rPr>
                <w:rFonts w:hint="eastAsia"/>
                <w:b/>
                <w:color w:val="000000"/>
                <w:sz w:val="20"/>
              </w:rPr>
              <w:t>2.相关方需求和期望识别情况：</w:t>
            </w:r>
          </w:p>
          <w:p>
            <w:pPr>
              <w:spacing w:line="360" w:lineRule="auto"/>
              <w:ind w:firstLine="420" w:firstLineChars="200"/>
              <w:rPr>
                <w:b/>
                <w:color w:val="000000"/>
                <w:sz w:val="20"/>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rPr>
                <w:b/>
                <w:sz w:val="20"/>
              </w:rPr>
            </w:pPr>
            <w:r>
              <w:rPr>
                <w:rFonts w:hint="eastAsia"/>
                <w:b/>
                <w:spacing w:val="-10"/>
                <w:szCs w:val="21"/>
              </w:rPr>
              <w:t>3.☑</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持续适宜性、方针的传达及职工的理解等）组织的方针为：</w:t>
            </w:r>
          </w:p>
          <w:p>
            <w:pPr>
              <w:spacing w:line="360" w:lineRule="auto"/>
            </w:pPr>
            <w:r>
              <w:t>公司环境、职业健康安全管理方针:</w:t>
            </w:r>
            <w:r>
              <w:br w:type="textWrapping"/>
            </w:r>
            <w:r>
              <w:t>保障安全  预防污染  遵守法规  持续改进</w:t>
            </w:r>
            <w:r>
              <w:br w:type="textWrapping"/>
            </w:r>
            <w:r>
              <w:t>公司的质量管理方针：</w:t>
            </w:r>
            <w:r>
              <w:br w:type="textWrapping"/>
            </w:r>
            <w:r>
              <w:t>诚信为本  以质量求生存  科技创新 追求行业领先水平</w:t>
            </w:r>
          </w:p>
          <w:p>
            <w:pPr>
              <w:spacing w:line="360" w:lineRule="auto"/>
              <w:rPr>
                <w:b/>
                <w:sz w:val="20"/>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b/>
                <w:color w:val="000000"/>
              </w:rPr>
            </w:pPr>
            <w:r>
              <w:rPr>
                <w:rFonts w:hint="eastAsia"/>
                <w:b/>
                <w:color w:val="000000"/>
              </w:rPr>
              <w:t>4.风险识别与控制策划：</w:t>
            </w:r>
          </w:p>
          <w:p>
            <w:pPr>
              <w:spacing w:line="280" w:lineRule="exact"/>
              <w:ind w:firstLine="420" w:firstLineChars="200"/>
              <w:rPr>
                <w:b/>
                <w:color w:val="000000"/>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rPr>
                <w:rFonts w:asciiTheme="minorEastAsia" w:hAnsiTheme="minorEastAsia" w:eastAsiaTheme="minorEastAsia"/>
                <w:sz w:val="18"/>
                <w:szCs w:val="18"/>
              </w:rPr>
            </w:pPr>
            <w:r>
              <w:rPr>
                <w:rFonts w:hint="eastAsia" w:ascii="宋体" w:hAnsi="宋体"/>
                <w:sz w:val="18"/>
                <w:szCs w:val="18"/>
              </w:rPr>
              <w:t>称重—垃圾储坑—焚烧—发电—上网</w:t>
            </w:r>
            <w:r>
              <w:rPr>
                <w:rFonts w:hint="eastAsia" w:asciiTheme="minorEastAsia" w:hAnsiTheme="minorEastAsia" w:eastAsiaTheme="minorEastAsia"/>
                <w:sz w:val="18"/>
                <w:szCs w:val="18"/>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ascii="宋体" w:hAnsi="宋体"/>
                <w:sz w:val="18"/>
                <w:szCs w:val="18"/>
                <w:u w:val="single"/>
              </w:rPr>
              <w:t>焚烧、发电</w:t>
            </w:r>
            <w:r>
              <w:rPr>
                <w:rFonts w:ascii="宋体" w:hAnsi="宋体"/>
                <w:b/>
                <w:szCs w:val="21"/>
                <w:u w:val="single"/>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ascii="宋体" w:hAnsi="宋体" w:cs="宋体"/>
                <w:color w:val="000000"/>
                <w:sz w:val="21"/>
                <w:szCs w:val="21"/>
                <w:u w:val="single"/>
              </w:rPr>
              <w:t>无</w:t>
            </w:r>
            <w:r>
              <w:rPr>
                <w:rFonts w:ascii="宋体" w:hAnsi="宋体"/>
                <w:b/>
                <w:szCs w:val="21"/>
                <w:u w:val="single"/>
              </w:rPr>
              <w:t xml:space="preserve">                                                           </w:t>
            </w:r>
            <w:r>
              <w:rPr>
                <w:rFonts w:ascii="宋体" w:hAnsi="宋体"/>
                <w:b/>
                <w:szCs w:val="21"/>
              </w:rPr>
              <w:t xml:space="preserve"> </w:t>
            </w:r>
          </w:p>
          <w:p>
            <w:pPr>
              <w:tabs>
                <w:tab w:val="left" w:pos="540"/>
              </w:tabs>
              <w:spacing w:line="300" w:lineRule="exact"/>
              <w:ind w:left="240" w:hanging="240" w:hangingChars="100"/>
              <w:rPr>
                <w:rFonts w:ascii="宋体"/>
                <w:b/>
                <w:szCs w:val="21"/>
              </w:rPr>
            </w:pPr>
            <w:r>
              <w:pict>
                <v:shape id="_x0000_s1030" o:spid="_x0000_s1030"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pict>
                <v:shape id="_x0000_s1031" o:spid="_x0000_s103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rPr>
              <w:t>8.3</w:t>
            </w:r>
            <w:r>
              <w:rPr>
                <w:rFonts w:ascii="宋体" w:hAnsi="宋体"/>
                <w:b/>
                <w:szCs w:val="21"/>
              </w:rPr>
              <w:t xml:space="preserve">      </w:t>
            </w:r>
            <w:r>
              <w:rPr>
                <w:rFonts w:hint="eastAsia" w:ascii="宋体" w:hAnsi="宋体"/>
                <w:b/>
                <w:szCs w:val="21"/>
              </w:rPr>
              <w:t>，删减理由：</w:t>
            </w:r>
            <w:r>
              <w:rPr>
                <w:rFonts w:hint="eastAsia" w:ascii="宋体" w:hAnsi="宋体" w:cs="新宋体"/>
                <w:sz w:val="18"/>
                <w:szCs w:val="18"/>
              </w:rPr>
              <w:t>供（发）电项目属于国家专业立项研发项目，过程不涉及设计开发过程</w:t>
            </w:r>
            <w:r>
              <w:rPr>
                <w:rFonts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b/>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sz w:val="21"/>
                <w:szCs w:val="21"/>
              </w:rPr>
              <w:t>固废排放、粉尘排放、废气排放、噪声排放、废水排放</w:t>
            </w:r>
            <w:r>
              <w:rPr>
                <w:rFonts w:hint="eastAsia" w:asciiTheme="minorEastAsia" w:hAnsiTheme="minorEastAsia" w:eastAsiaTheme="minorEastAsia"/>
                <w:bCs/>
                <w:iCs/>
              </w:rPr>
              <w:t>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pacing w:val="-10"/>
                <w:szCs w:val="21"/>
              </w:rPr>
              <w:t xml:space="preserve">7. </w:t>
            </w:r>
            <w:r>
              <w:rPr>
                <w:rFonts w:hint="eastAsia" w:ascii="MS Mincho" w:hAnsi="MS Mincho" w:eastAsia="MS Mincho" w:cs="MS Mincho"/>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color w:val="000000"/>
                <w:spacing w:val="-8"/>
                <w:sz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pStyle w:val="13"/>
              <w:tabs>
                <w:tab w:val="left" w:pos="540"/>
              </w:tabs>
              <w:spacing w:line="300" w:lineRule="exact"/>
              <w:ind w:firstLine="0" w:firstLineChars="0"/>
              <w:rPr>
                <w:b/>
                <w:sz w:val="14"/>
                <w:szCs w:val="14"/>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可测量的目标，目标、方案的有效性，对目标的实现情况进行评价并叙述测量方法）：</w:t>
            </w:r>
          </w:p>
          <w:p>
            <w:pPr>
              <w:spacing w:line="300" w:lineRule="exact"/>
              <w:ind w:firstLine="420" w:firstLineChars="200"/>
              <w:rPr>
                <w:rFonts w:ascii="宋体"/>
                <w:b/>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Cs w:val="21"/>
              </w:rPr>
            </w:pPr>
            <w:r>
              <w:rPr>
                <w:rFonts w:hint="eastAsia"/>
                <w:b/>
                <w:szCs w:val="21"/>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tabs>
                <w:tab w:val="left" w:pos="902"/>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3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b/>
                <w:color w:val="000000"/>
                <w:sz w:val="20"/>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设备设施（包括信息系统）</w:t>
            </w:r>
          </w:p>
          <w:p>
            <w:pPr>
              <w:spacing w:line="360" w:lineRule="auto"/>
              <w:rPr>
                <w:rFonts w:ascii="宋体"/>
                <w:b/>
                <w:sz w:val="20"/>
              </w:rPr>
            </w:pPr>
            <w:r>
              <w:rPr>
                <w:rFonts w:hint="eastAsia" w:ascii="宋体"/>
                <w:b/>
                <w:color w:val="000000"/>
                <w:sz w:val="20"/>
              </w:rPr>
              <w:t xml:space="preserve">  </w:t>
            </w:r>
            <w:r>
              <w:rPr>
                <w:rFonts w:hint="eastAsia" w:ascii="宋体"/>
                <w:b/>
                <w:sz w:val="20"/>
              </w:rPr>
              <w:t xml:space="preserve">  </w:t>
            </w:r>
            <w:r>
              <w:rPr>
                <w:rFonts w:hint="eastAsia" w:ascii="宋体" w:hAnsi="宋体" w:cs="宋体"/>
                <w:sz w:val="21"/>
                <w:szCs w:val="21"/>
              </w:rPr>
              <w:t>办公场所面积1000平方米左右,生产场地10000平米左右.主要为锅炉、汽轮机组、飞灰固化系统、水处理系统、电梯、桥式起重机、渗沥液处理系统、升压站等等.可以满足垃圾焚烧发电需要。安全生产技术部对设备进行了维护保养，并实施。特种设备：</w:t>
            </w:r>
            <w:r>
              <w:rPr>
                <w:rFonts w:hint="eastAsia" w:ascii="宋体" w:hAnsi="宋体"/>
                <w:sz w:val="21"/>
                <w:szCs w:val="21"/>
              </w:rPr>
              <w:t>锅炉、行车等</w:t>
            </w:r>
            <w:r>
              <w:rPr>
                <w:rFonts w:hint="eastAsia" w:ascii="宋体" w:hAnsi="宋体" w:cs="宋体"/>
                <w:sz w:val="21"/>
                <w:szCs w:val="21"/>
              </w:rPr>
              <w:t>。公司建立有信息管理系统用于生产服务。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b/>
                <w:color w:val="000000"/>
                <w:sz w:val="20"/>
              </w:rPr>
            </w:pPr>
            <w:r>
              <w:rPr>
                <w:rFonts w:hint="eastAsia" w:ascii="宋体" w:hAnsi="宋体" w:cs="宋体"/>
                <w:sz w:val="21"/>
                <w:szCs w:val="21"/>
              </w:rPr>
              <w:t>生产车间内设备布置合理，通道畅通，照明设施齐全，均配备了消防设施等设施，能满足生产服务。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监视和测量资源</w:t>
            </w:r>
          </w:p>
          <w:p>
            <w:pPr>
              <w:spacing w:line="400" w:lineRule="exact"/>
              <w:ind w:firstLine="315" w:firstLineChars="150"/>
              <w:rPr>
                <w:rFonts w:ascii="宋体" w:hAnsi="宋体"/>
                <w:b/>
                <w:color w:val="000000"/>
                <w:sz w:val="21"/>
                <w:szCs w:val="21"/>
              </w:rPr>
            </w:pPr>
            <w:r>
              <w:rPr>
                <w:rFonts w:hint="eastAsia" w:ascii="宋体"/>
                <w:color w:val="000000"/>
                <w:sz w:val="21"/>
                <w:szCs w:val="21"/>
              </w:rPr>
              <w:t>配置有</w:t>
            </w:r>
            <w:r>
              <w:rPr>
                <w:rFonts w:hint="eastAsia" w:ascii="宋体" w:hAnsi="宋体"/>
                <w:sz w:val="21"/>
                <w:szCs w:val="21"/>
              </w:rPr>
              <w:t>电力自动控制装置、压力变送器、压力表、温差变送器、磅秤、电流互感器、密度继电器</w:t>
            </w:r>
            <w:r>
              <w:rPr>
                <w:rFonts w:hint="eastAsia" w:ascii="宋体" w:hAnsi="宋体" w:cs="宋体"/>
                <w:color w:val="666666"/>
                <w:sz w:val="21"/>
                <w:szCs w:val="21"/>
                <w:shd w:val="clear" w:color="auto" w:fill="FFFFFF"/>
              </w:rPr>
              <w:t>等</w:t>
            </w:r>
            <w:r>
              <w:rPr>
                <w:rFonts w:hint="eastAsia" w:ascii="宋体" w:hAnsi="宋体" w:cs="宋体"/>
                <w:sz w:val="21"/>
                <w:szCs w:val="21"/>
              </w:rPr>
              <w:t>。能满足检验要求。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b/>
                <w:color w:val="000000"/>
                <w:sz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环保设施：灭火器、消防栓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职业健康安全设施：灭火器、配电箱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9"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firstLine="420" w:firstLineChars="200"/>
              <w:rPr>
                <w:b/>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szCs w:val="21"/>
              </w:rPr>
            </w:pPr>
            <w:r>
              <w:rPr>
                <w:rFonts w:hint="eastAsia" w:ascii="楷体_GB2312" w:eastAsia="楷体_GB2312"/>
                <w:b/>
                <w:color w:val="000000" w:themeColor="text1"/>
                <w:sz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color w:val="000000" w:themeColor="text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b/>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ascii="宋体" w:hAnsi="宋体" w:cs="宋体"/>
                <w:color w:val="000000"/>
                <w:sz w:val="21"/>
                <w:szCs w:val="21"/>
              </w:rPr>
            </w:pPr>
            <w:r>
              <w:rPr>
                <w:rFonts w:hint="eastAsia"/>
                <w:b/>
                <w:color w:val="000000"/>
                <w:sz w:val="20"/>
              </w:rPr>
              <w:t xml:space="preserve">  </w:t>
            </w: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60" w:lineRule="auto"/>
              <w:ind w:firstLine="210" w:firstLineChars="100"/>
              <w:rPr>
                <w:rFonts w:ascii="宋体" w:hAnsi="宋体" w:cs="宋体"/>
                <w:sz w:val="21"/>
                <w:szCs w:val="21"/>
              </w:rPr>
            </w:pPr>
            <w:r>
              <w:rPr>
                <w:rFonts w:hint="eastAsia" w:ascii="宋体" w:hAnsi="宋体" w:cs="宋体"/>
                <w:sz w:val="21"/>
                <w:szCs w:val="21"/>
              </w:rPr>
              <w:t>无</w:t>
            </w:r>
          </w:p>
          <w:p>
            <w:pPr>
              <w:spacing w:line="300" w:lineRule="exact"/>
              <w:ind w:firstLine="197" w:firstLineChars="98"/>
              <w:rPr>
                <w:b/>
                <w:color w:val="000000"/>
                <w:sz w:val="20"/>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360" w:firstLineChars="200"/>
              <w:jc w:val="left"/>
              <w:rPr>
                <w:b/>
                <w:color w:val="000000"/>
                <w:sz w:val="18"/>
                <w:szCs w:val="18"/>
              </w:rPr>
            </w:pPr>
            <w:r>
              <w:rPr>
                <w:rFonts w:hint="eastAsia" w:ascii="宋体" w:hAnsi="宋体" w:cs="宋体"/>
                <w:color w:val="000000"/>
                <w:sz w:val="18"/>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05" w:firstLineChars="50"/>
              <w:jc w:val="left"/>
              <w:rPr>
                <w:rFonts w:ascii="宋体" w:hAnsi="宋体" w:cs="宋体"/>
                <w:color w:val="000000"/>
                <w:sz w:val="21"/>
                <w:szCs w:val="21"/>
              </w:rPr>
            </w:pPr>
            <w:r>
              <w:rPr>
                <w:rFonts w:hint="eastAsia" w:ascii="宋体" w:hAnsi="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240" w:lineRule="exact"/>
              <w:ind w:left="-120" w:leftChars="-50" w:firstLine="420" w:firstLineChars="200"/>
              <w:rPr>
                <w:rFonts w:ascii="宋体"/>
                <w:b/>
                <w:sz w:val="20"/>
              </w:rPr>
            </w:pPr>
            <w:r>
              <w:rPr>
                <w:rFonts w:hint="eastAsia" w:ascii="宋体" w:hAnsi="宋体" w:cs="宋体"/>
                <w:color w:val="000000"/>
                <w:sz w:val="21"/>
                <w:szCs w:val="21"/>
              </w:rPr>
              <w:t>公司制定、发布了总体目标并分解到相关职能部门和层次，规定了目标值、计算方法、责任部门、检查人、考核频次等。同时，目标得到沟通和监视</w:t>
            </w:r>
            <w:r>
              <w:rPr>
                <w:rFonts w:hint="eastAsia" w:ascii="宋体" w:hAnsi="宋体" w:cs="宋体"/>
                <w:sz w:val="21"/>
                <w:szCs w:val="21"/>
              </w:rPr>
              <w:t>评价，通过数据的汇总统计、描述性统计等方法对目标进行了测量，总体已达到或超过了规定的目标值。通过2019年1-8月目标的测量，总体已达到或超过了规定的目标值。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1"/>
              </w:numPr>
              <w:spacing w:line="240" w:lineRule="exact"/>
              <w:ind w:left="105" w:hanging="105" w:hangingChars="50"/>
              <w:rPr>
                <w:rFonts w:ascii="宋体" w:hAnsi="宋体" w:cs="宋体"/>
                <w:color w:val="000000"/>
                <w:sz w:val="21"/>
                <w:szCs w:val="21"/>
              </w:rPr>
            </w:pPr>
            <w:r>
              <w:rPr>
                <w:rFonts w:hint="eastAsia" w:ascii="宋体" w:hAnsi="宋体" w:cs="宋体"/>
                <w:color w:val="000000"/>
                <w:sz w:val="21"/>
                <w:szCs w:val="21"/>
              </w:rPr>
              <w:t>顾客满意</w:t>
            </w:r>
          </w:p>
          <w:p>
            <w:pPr>
              <w:spacing w:line="240" w:lineRule="exact"/>
              <w:ind w:left="-120" w:leftChars="-50" w:firstLine="420" w:firstLineChars="200"/>
              <w:rPr>
                <w:rFonts w:ascii="宋体" w:hAnsi="宋体" w:cs="宋体"/>
                <w:color w:val="000000"/>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 w:val="21"/>
                <w:szCs w:val="21"/>
                <w:lang w:val="en-US" w:eastAsia="zh-CN"/>
              </w:rPr>
              <w:t>6</w:t>
            </w:r>
            <w:r>
              <w:rPr>
                <w:rFonts w:hint="eastAsia" w:ascii="宋体" w:hAnsi="宋体" w:cs="宋体"/>
                <w:color w:val="000000"/>
                <w:sz w:val="21"/>
                <w:szCs w:val="21"/>
              </w:rPr>
              <w:t>月实施，满意度评价98%，总体实现了顾客满意度的目标要求。</w:t>
            </w:r>
            <w:bookmarkStart w:id="32" w:name="_GoBack"/>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color w:val="000000"/>
                <w:sz w:val="21"/>
                <w:szCs w:val="21"/>
              </w:rPr>
            </w:pPr>
            <w:r>
              <w:rPr>
                <w:rFonts w:ascii="宋体" w:hAnsi="宋体" w:cs="宋体"/>
                <w:color w:val="000000"/>
                <w:sz w:val="21"/>
                <w:szCs w:val="21"/>
              </w:rPr>
              <w:t xml:space="preserve">3. </w:t>
            </w:r>
            <w:r>
              <w:rPr>
                <w:rFonts w:hint="eastAsia" w:ascii="宋体" w:hAnsi="宋体" w:cs="宋体"/>
                <w:color w:val="000000"/>
                <w:sz w:val="21"/>
                <w:szCs w:val="21"/>
              </w:rPr>
              <w:t>内审（包括内审策划审核方案中考虑拟审核的过程和区域的状况和重要性）</w:t>
            </w:r>
          </w:p>
          <w:p>
            <w:pPr>
              <w:spacing w:line="240" w:lineRule="exact"/>
              <w:rPr>
                <w:rFonts w:ascii="宋体" w:hAnsi="宋体" w:cs="宋体"/>
                <w:color w:val="000000"/>
                <w:sz w:val="21"/>
                <w:szCs w:val="21"/>
              </w:rPr>
            </w:pP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建立有《内部审核控制程序》，规定了内审频次一年一次，内审时间：2019年7月1-2日，拟定了审核实施表，明确了内审范围，内审人员经培训合格上岗，能力满足要求，未出现审核本部门情况，内审不符合项1项，涉及安全生产技术部E8.2/S4.4.7应急管理，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管理评审（管理评审体系变更需求，纠正和预防措施、体系有效性等）</w:t>
            </w:r>
          </w:p>
          <w:p>
            <w:pPr>
              <w:spacing w:line="240" w:lineRule="exact"/>
              <w:rPr>
                <w:rFonts w:ascii="宋体" w:hAnsi="宋体" w:cs="宋体"/>
                <w:color w:val="000000"/>
                <w:sz w:val="21"/>
                <w:szCs w:val="21"/>
              </w:rPr>
            </w:pPr>
            <w:r>
              <w:rPr>
                <w:rFonts w:hint="eastAsia" w:ascii="宋体" w:hAnsi="宋体" w:cs="宋体"/>
                <w:color w:val="000000"/>
                <w:sz w:val="21"/>
                <w:szCs w:val="21"/>
              </w:rPr>
              <w:t xml:space="preserve">    管理评审频次为一年一次、本次管理评审于2019年7月25日由总经理主持完成、提供主要输入材料有各部门总结，输入信息基本充分和满足要求。输出见“管理评审报告”,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00" w:firstLineChars="100"/>
              <w:rPr>
                <w:sz w:val="20"/>
              </w:rPr>
            </w:pPr>
            <w:r>
              <w:rPr>
                <w:rFonts w:hint="eastAsia"/>
                <w:sz w:val="20"/>
              </w:rPr>
              <w:t>在2019年7月进行了检测，符合标准要求，具体见附件。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b/>
                <w:sz w:val="20"/>
              </w:rPr>
            </w:pPr>
            <w:r>
              <w:rPr>
                <w:rFonts w:hint="eastAsia"/>
                <w:sz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240" w:lineRule="exact"/>
              <w:rPr>
                <w:b/>
                <w:color w:val="000000" w:themeColor="text1"/>
                <w:sz w:val="20"/>
              </w:rPr>
            </w:pPr>
            <w:r>
              <w:rPr>
                <w:rFonts w:hint="eastAsia"/>
                <w:sz w:val="20"/>
              </w:rPr>
              <w:t>有员工职业体检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b/>
                <w:sz w:val="20"/>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b/>
                <w:sz w:val="20"/>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80" w:firstLineChars="200"/>
              <w:rPr>
                <w:rFonts w:ascii="宋体" w:hAnsi="宋体"/>
                <w:szCs w:val="21"/>
              </w:rPr>
            </w:pPr>
            <w:r>
              <w:rPr>
                <w:rFonts w:hint="eastAsia" w:ascii="宋体" w:hAnsi="宋体" w:cs="宋体"/>
                <w:color w:val="000000" w:themeColor="text1"/>
                <w:szCs w:val="24"/>
              </w:rPr>
              <w:t>公司明确通过对内、外审核结果、管理评审输出、监测和测量等活动中识别出</w:t>
            </w:r>
            <w:r>
              <w:rPr>
                <w:rFonts w:hint="eastAsia" w:ascii="宋体" w:hAnsi="宋体"/>
                <w:color w:val="000000" w:themeColor="text1"/>
                <w:szCs w:val="24"/>
              </w:rPr>
              <w:t>在产品/服务、过程、管理体系等方面</w:t>
            </w:r>
            <w:r>
              <w:rPr>
                <w:rFonts w:hint="eastAsia" w:ascii="宋体" w:hAnsi="宋体" w:cs="宋体"/>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ind w:firstLine="482" w:firstLineChars="20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r>
              <w:rPr>
                <w:rFonts w:hint="eastAsia"/>
                <w:b/>
                <w:spacing w:val="-20"/>
                <w:szCs w:val="21"/>
              </w:rPr>
              <w:t>无</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720" w:type="dxa"/>
            <w:vMerge w:val="restart"/>
            <w:vAlign w:val="center"/>
          </w:tcPr>
          <w:p>
            <w:pPr>
              <w:spacing w:line="240" w:lineRule="exact"/>
              <w:jc w:val="center"/>
              <w:rPr>
                <w:b/>
                <w:sz w:val="20"/>
              </w:rPr>
            </w:pPr>
          </w:p>
        </w:tc>
        <w:tc>
          <w:tcPr>
            <w:tcW w:w="9198" w:type="dxa"/>
          </w:tcPr>
          <w:p>
            <w:pPr>
              <w:numPr>
                <w:ilvl w:val="0"/>
                <w:numId w:val="1"/>
              </w:numPr>
              <w:spacing w:line="240" w:lineRule="exact"/>
              <w:ind w:left="100" w:hanging="100" w:hangingChars="50"/>
              <w:rPr>
                <w:b/>
                <w:spacing w:val="-20"/>
                <w:szCs w:val="21"/>
              </w:rPr>
            </w:pPr>
            <w:r>
              <w:rPr>
                <w:rFonts w:hint="eastAsia"/>
                <w:b/>
                <w:spacing w:val="-20"/>
                <w:szCs w:val="21"/>
              </w:rPr>
              <w:t>创新情况</w:t>
            </w:r>
          </w:p>
          <w:p>
            <w:pPr>
              <w:spacing w:line="240" w:lineRule="exact"/>
              <w:ind w:left="-120" w:leftChars="-50"/>
              <w:rPr>
                <w:b/>
                <w:spacing w:val="-20"/>
                <w:szCs w:val="21"/>
              </w:rPr>
            </w:pPr>
            <w:r>
              <w:rPr>
                <w:rFonts w:hint="eastAsia"/>
                <w:b/>
                <w:spacing w:val="-20"/>
                <w:szCs w:val="21"/>
              </w:rPr>
              <w:t>无</w:t>
            </w:r>
          </w:p>
          <w:p>
            <w:pPr>
              <w:spacing w:line="240" w:lineRule="exact"/>
              <w:ind w:left="-120" w:leftChars="-50"/>
              <w:rPr>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ind w:left="120" w:hanging="120" w:hangingChars="50"/>
              <w:rPr>
                <w:b/>
                <w:szCs w:val="21"/>
              </w:rPr>
            </w:pPr>
            <w:r>
              <w:rPr>
                <w:rFonts w:hint="eastAsia"/>
                <w:b/>
                <w:szCs w:val="21"/>
              </w:rPr>
              <w:t>上次不符合的整改情况</w:t>
            </w:r>
          </w:p>
          <w:p>
            <w:pPr>
              <w:spacing w:line="240" w:lineRule="exact"/>
              <w:ind w:left="-120" w:leftChars="-50"/>
              <w:rPr>
                <w:b/>
                <w:szCs w:val="21"/>
              </w:rPr>
            </w:pPr>
            <w:r>
              <w:rPr>
                <w:rFonts w:hint="eastAsia"/>
                <w:b/>
                <w:szCs w:val="21"/>
              </w:rPr>
              <w:t>上次不符合为Q7.2，E6.1.2，经本次审核验证均整改且无类似不符合情况出现。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firstLine="221" w:firstLineChars="100"/>
        <w:rPr>
          <w:rFonts w:ascii="宋体"/>
          <w:b/>
          <w:szCs w:val="21"/>
        </w:rPr>
      </w:pPr>
      <w:r>
        <w:rPr>
          <w:rFonts w:hint="eastAsia"/>
          <w:b/>
          <w:spacing w:val="-10"/>
          <w:szCs w:val="21"/>
        </w:rPr>
        <w:t>☑</w:t>
      </w:r>
      <w:r>
        <w:rPr>
          <w:rFonts w:hint="eastAsia" w:ascii="宋体" w:hAnsi="宋体"/>
          <w:b/>
          <w:szCs w:val="21"/>
        </w:rPr>
        <w:t>达到审核目的</w:t>
      </w:r>
      <w:r>
        <w:rPr>
          <w:rFonts w:ascii="宋体" w:hAnsi="宋体"/>
          <w:b/>
          <w:szCs w:val="21"/>
        </w:rPr>
        <w:t xml:space="preserve"> </w:t>
      </w:r>
    </w:p>
    <w:p>
      <w:pPr>
        <w:snapToGrid w:val="0"/>
        <w:spacing w:line="360" w:lineRule="auto"/>
        <w:ind w:left="-211" w:leftChars="-88" w:firstLine="493" w:firstLineChars="223"/>
        <w:rPr>
          <w:rFonts w:ascii="宋体" w:hAnsi="宋体"/>
          <w:b/>
          <w:szCs w:val="21"/>
        </w:rPr>
      </w:pPr>
      <w:r>
        <w:rPr>
          <w:rFonts w:hint="eastAsia"/>
          <w:b/>
          <w:spacing w:val="-10"/>
          <w:szCs w:val="21"/>
        </w:rPr>
        <w:t>□未</w:t>
      </w:r>
      <w:r>
        <w:rPr>
          <w:rFonts w:hint="eastAsia" w:ascii="宋体" w:hAnsi="宋体"/>
          <w:b/>
          <w:szCs w:val="21"/>
        </w:rPr>
        <w:t>达到审核目的，未达到目的的原因是：</w:t>
      </w:r>
    </w:p>
    <w:p>
      <w:pPr>
        <w:numPr>
          <w:ilvl w:val="0"/>
          <w:numId w:val="2"/>
        </w:numPr>
        <w:snapToGrid w:val="0"/>
        <w:spacing w:line="360" w:lineRule="auto"/>
        <w:ind w:left="-211" w:leftChars="-88" w:firstLine="582" w:firstLineChars="223"/>
        <w:rPr>
          <w:b/>
          <w:sz w:val="26"/>
          <w:szCs w:val="26"/>
        </w:rPr>
      </w:pPr>
      <w:r>
        <w:rPr>
          <w:rFonts w:hint="eastAsia"/>
          <w:b/>
          <w:sz w:val="26"/>
          <w:szCs w:val="26"/>
        </w:rPr>
        <w:t>本次审核不符合项</w:t>
      </w:r>
    </w:p>
    <w:p>
      <w:pPr>
        <w:snapToGrid w:val="0"/>
        <w:spacing w:line="360" w:lineRule="auto"/>
        <w:ind w:left="-211" w:leftChars="-88" w:firstLine="537" w:firstLineChars="223"/>
        <w:rPr>
          <w:rFonts w:ascii="宋体" w:hAnsi="宋体"/>
          <w:b/>
          <w:szCs w:val="21"/>
        </w:rPr>
      </w:pPr>
      <w:r>
        <w:rPr>
          <w:rFonts w:hint="eastAsia" w:ascii="宋体" w:hAnsi="宋体"/>
          <w:b/>
          <w:szCs w:val="21"/>
        </w:rPr>
        <w:t>本</w:t>
      </w:r>
      <w:r>
        <w:rPr>
          <w:rFonts w:hint="eastAsia"/>
          <w:b/>
          <w:sz w:val="26"/>
          <w:szCs w:val="26"/>
        </w:rPr>
        <w:t>次审核共开具不符合项报告1项；其中</w:t>
      </w:r>
      <w:r>
        <w:rPr>
          <w:b/>
          <w:sz w:val="26"/>
          <w:szCs w:val="26"/>
        </w:rPr>
        <w:pict>
          <v:line id="直接连接符 1" o:spid="_x0000_s1032" o:spt="20" style="position:absolute;left:0pt;margin-left:210pt;margin-top:16.2pt;height:0pt;width:0.05pt;z-index:251663360;mso-width-relative:page;mso-height-relative:page;" coordsize="21600,21600" o:allowincell="f">
            <v:path arrowok="t"/>
            <v:fill focussize="0,0"/>
            <v:stroke/>
            <v:imagedata o:title=""/>
            <o:lock v:ext="edit"/>
          </v:line>
        </w:pict>
      </w:r>
      <w:r>
        <w:rPr>
          <w:rFonts w:hint="eastAsia"/>
          <w:b/>
          <w:sz w:val="26"/>
          <w:szCs w:val="26"/>
        </w:rPr>
        <w:t>严重不符合 0项，一般不符合 1项，观察项0项。不符合项分布在综合部部门S4.5.1条款，见不符合</w:t>
      </w:r>
      <w:r>
        <w:rPr>
          <w:rFonts w:hint="eastAsia" w:ascii="宋体" w:hAnsi="宋体"/>
          <w:b/>
          <w:szCs w:val="21"/>
        </w:rPr>
        <w:t>项分布表。（Q/J/E/S分开填写）</w:t>
      </w:r>
    </w:p>
    <w:p>
      <w:pPr>
        <w:numPr>
          <w:ilvl w:val="0"/>
          <w:numId w:val="3"/>
        </w:numPr>
        <w:tabs>
          <w:tab w:val="left" w:pos="645"/>
        </w:tabs>
        <w:spacing w:afterLines="50" w:line="360" w:lineRule="exact"/>
        <w:rPr>
          <w:b/>
          <w:sz w:val="26"/>
          <w:szCs w:val="26"/>
        </w:rPr>
      </w:pPr>
      <w:r>
        <w:rPr>
          <w:rFonts w:hint="eastAsia"/>
          <w:b/>
          <w:sz w:val="26"/>
          <w:szCs w:val="26"/>
        </w:rPr>
        <w:t>审核结论</w:t>
      </w:r>
    </w:p>
    <w:tbl>
      <w:tblPr>
        <w:tblStyle w:val="6"/>
        <w:tblW w:w="9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0" w:hRule="atLeast"/>
          <w:jc w:val="center"/>
        </w:trPr>
        <w:tc>
          <w:tcPr>
            <w:tcW w:w="9523" w:type="dxa"/>
            <w:vAlign w:val="center"/>
          </w:tcPr>
          <w:p>
            <w:pPr>
              <w:ind w:left="240" w:leftChars="100" w:firstLine="131" w:firstLineChars="50"/>
              <w:jc w:val="left"/>
              <w:rPr>
                <w:rFonts w:asciiTheme="minorEastAsia" w:hAnsiTheme="minorEastAsia" w:eastAsiaTheme="minorEastAsia"/>
                <w:sz w:val="21"/>
                <w:szCs w:val="21"/>
              </w:rPr>
            </w:pPr>
            <w:r>
              <w:rPr>
                <w:b/>
                <w:sz w:val="26"/>
                <w:szCs w:val="26"/>
              </w:rPr>
              <w:t>1.</w:t>
            </w:r>
            <w:r>
              <w:rPr>
                <w:rFonts w:hint="eastAsia"/>
                <w:b/>
                <w:sz w:val="26"/>
                <w:szCs w:val="26"/>
              </w:rPr>
              <w:t>☑</w:t>
            </w:r>
            <w:r>
              <w:rPr>
                <w:b/>
                <w:sz w:val="26"/>
                <w:szCs w:val="26"/>
              </w:rPr>
              <w:t xml:space="preserve">QMS/GJB   </w:t>
            </w:r>
            <w:r>
              <w:rPr>
                <w:rFonts w:hint="eastAsia" w:ascii="MS Mincho" w:hAnsi="MS Mincho" w:eastAsia="MS Mincho" w:cs="MS Mincho"/>
                <w:b/>
                <w:sz w:val="26"/>
                <w:szCs w:val="26"/>
              </w:rPr>
              <w:t>☑</w:t>
            </w:r>
            <w:r>
              <w:rPr>
                <w:b/>
                <w:sz w:val="26"/>
                <w:szCs w:val="26"/>
              </w:rPr>
              <w:t xml:space="preserve">EMS  </w:t>
            </w:r>
            <w:r>
              <w:rPr>
                <w:rFonts w:hint="eastAsia" w:ascii="MS Mincho" w:hAnsi="MS Mincho" w:eastAsia="MS Mincho" w:cs="MS Mincho"/>
                <w:b/>
                <w:sz w:val="26"/>
                <w:szCs w:val="26"/>
              </w:rPr>
              <w:t>☑</w:t>
            </w:r>
            <w:r>
              <w:rPr>
                <w:b/>
                <w:sz w:val="26"/>
                <w:szCs w:val="26"/>
              </w:rPr>
              <w:t>OHSMS</w:t>
            </w:r>
            <w:r>
              <w:rPr>
                <w:rFonts w:hint="eastAsia"/>
                <w:b/>
                <w:sz w:val="26"/>
                <w:szCs w:val="26"/>
              </w:rPr>
              <w:t>□50430</w:t>
            </w:r>
          </w:p>
          <w:p>
            <w:pPr>
              <w:spacing w:line="280" w:lineRule="exact"/>
              <w:rPr>
                <w:b/>
                <w:sz w:val="26"/>
                <w:szCs w:val="26"/>
              </w:rPr>
            </w:pPr>
            <w:r>
              <w:rPr>
                <w:rFonts w:hint="eastAsia"/>
                <w:b/>
                <w:sz w:val="26"/>
                <w:szCs w:val="26"/>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eastAsia="微软雅黑"/>
                <w:b/>
                <w:sz w:val="26"/>
                <w:szCs w:val="26"/>
              </w:rPr>
            </w:pPr>
            <w:r>
              <w:rPr>
                <w:rFonts w:hint="eastAsia" w:ascii="微软雅黑" w:hAnsi="微软雅黑" w:eastAsia="微软雅黑"/>
                <w:bCs/>
                <w:szCs w:val="24"/>
              </w:rPr>
              <w:t>综上所述，审核组一致认为（</w:t>
            </w:r>
            <w:r>
              <w:rPr>
                <w:rFonts w:ascii="宋体" w:hAnsi="宋体"/>
                <w:szCs w:val="21"/>
              </w:rPr>
              <w:t>中航工业南充可再生能源有限公司</w:t>
            </w:r>
            <w:r>
              <w:rPr>
                <w:rFonts w:hint="eastAsia" w:ascii="微软雅黑" w:hAnsi="微软雅黑" w:eastAsia="微软雅黑"/>
                <w:bCs/>
                <w:szCs w:val="24"/>
              </w:rPr>
              <w:t>）的质量、环境和职业健康安全管理体系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23" w:type="dxa"/>
          </w:tcPr>
          <w:p>
            <w:pPr>
              <w:spacing w:line="280" w:lineRule="exact"/>
              <w:rPr>
                <w:b/>
                <w:sz w:val="26"/>
                <w:szCs w:val="26"/>
              </w:rPr>
            </w:pPr>
            <w:r>
              <w:rPr>
                <w:b/>
                <w:sz w:val="26"/>
                <w:szCs w:val="26"/>
              </w:rPr>
              <w:t xml:space="preserve">2. </w:t>
            </w:r>
            <w:r>
              <w:rPr>
                <w:rFonts w:hint="eastAsia"/>
                <w:b/>
                <w:sz w:val="26"/>
                <w:szCs w:val="26"/>
              </w:rPr>
              <w:t>审核组推荐意见：</w:t>
            </w:r>
          </w:p>
          <w:p>
            <w:pPr>
              <w:ind w:left="240" w:leftChars="100" w:firstLine="131" w:firstLineChars="50"/>
              <w:jc w:val="left"/>
              <w:rPr>
                <w:b/>
                <w:sz w:val="26"/>
                <w:szCs w:val="26"/>
              </w:rPr>
            </w:pPr>
            <w:r>
              <w:rPr>
                <w:rFonts w:hint="eastAsia"/>
                <w:b/>
                <w:sz w:val="26"/>
                <w:szCs w:val="26"/>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b/>
                <w:sz w:val="26"/>
                <w:szCs w:val="26"/>
              </w:rPr>
              <w:t xml:space="preserve">QMS/GJB </w:t>
            </w:r>
            <w:r>
              <w:rPr>
                <w:rFonts w:hint="eastAsia" w:ascii="MS Mincho" w:hAnsi="MS Mincho" w:eastAsia="MS Mincho" w:cs="MS Mincho"/>
                <w:b/>
                <w:sz w:val="26"/>
                <w:szCs w:val="26"/>
              </w:rPr>
              <w:t>☑</w:t>
            </w:r>
            <w:r>
              <w:rPr>
                <w:b/>
                <w:sz w:val="26"/>
                <w:szCs w:val="26"/>
              </w:rPr>
              <w:t xml:space="preserve">EMS  </w:t>
            </w:r>
            <w:r>
              <w:rPr>
                <w:rFonts w:hint="eastAsia" w:ascii="MS Mincho" w:hAnsi="MS Mincho" w:eastAsia="MS Mincho" w:cs="MS Mincho"/>
                <w:b/>
                <w:sz w:val="26"/>
                <w:szCs w:val="26"/>
              </w:rPr>
              <w:t>☑</w:t>
            </w:r>
            <w:r>
              <w:rPr>
                <w:b/>
                <w:sz w:val="26"/>
                <w:szCs w:val="26"/>
              </w:rPr>
              <w:t>OHSMS</w:t>
            </w:r>
          </w:p>
          <w:p>
            <w:pPr>
              <w:spacing w:line="280" w:lineRule="exact"/>
              <w:ind w:left="6161" w:leftChars="120" w:hanging="5873" w:hangingChars="2250"/>
              <w:rPr>
                <w:b/>
                <w:sz w:val="26"/>
                <w:szCs w:val="26"/>
              </w:rPr>
            </w:pPr>
            <w:r>
              <w:rPr>
                <w:rFonts w:hint="eastAsia"/>
                <w:b/>
                <w:sz w:val="26"/>
                <w:szCs w:val="26"/>
              </w:rPr>
              <w:t>□50430）换发证书</w:t>
            </w:r>
          </w:p>
          <w:p>
            <w:pPr>
              <w:ind w:left="240" w:leftChars="100" w:firstLine="105" w:firstLineChars="50"/>
              <w:jc w:val="left"/>
              <w:rPr>
                <w:rFonts w:asciiTheme="minorEastAsia" w:hAnsiTheme="minorEastAsia" w:eastAsiaTheme="minorEastAsia"/>
                <w:sz w:val="21"/>
                <w:szCs w:val="21"/>
              </w:rPr>
            </w:pPr>
          </w:p>
          <w:p>
            <w:pPr>
              <w:spacing w:line="280" w:lineRule="exact"/>
              <w:ind w:firstLine="392" w:firstLineChars="150"/>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延期推荐、不推荐或缩小认证范围的说明</w:t>
            </w:r>
            <w:r>
              <w:rPr>
                <w:b/>
                <w:sz w:val="26"/>
                <w:szCs w:val="26"/>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 xml:space="preserve">60  </w:t>
      </w:r>
      <w:r>
        <w:rPr>
          <w:rFonts w:hint="eastAsia"/>
          <w:b/>
          <w:sz w:val="21"/>
        </w:rPr>
        <w:t>天针对不符合原因制定并实施纠正措施。验证方式见不符合项报告。</w:t>
      </w:r>
    </w:p>
    <w:p>
      <w:pPr>
        <w:spacing w:beforeLines="50" w:afterLines="50"/>
        <w:ind w:left="-122" w:leftChars="-51" w:firstLine="120" w:firstLineChars="46"/>
        <w:rPr>
          <w:b/>
          <w:sz w:val="26"/>
          <w:szCs w:val="26"/>
        </w:rPr>
      </w:pPr>
      <w:r>
        <w:rPr>
          <w:rFonts w:hint="eastAsia"/>
          <w:b/>
          <w:sz w:val="26"/>
          <w:szCs w:val="26"/>
        </w:rPr>
        <w:t>十一、</w:t>
      </w:r>
      <w:r>
        <w:rPr>
          <w:rFonts w:ascii="仿宋" w:hAnsi="仿宋" w:eastAsia="仿宋"/>
          <w:kern w:val="24"/>
          <w:sz w:val="28"/>
          <w:szCs w:val="28"/>
        </w:rPr>
        <w:t xml:space="preserve"> </w:t>
      </w:r>
      <w:r>
        <w:rPr>
          <w:rFonts w:hint="eastAsia"/>
          <w:b/>
          <w:sz w:val="26"/>
          <w:szCs w:val="26"/>
        </w:rPr>
        <w:t>任何影响审核方案的重要事项：/</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beforeLines="50" w:line="320" w:lineRule="exact"/>
        <w:ind w:firstLine="527" w:firstLineChars="25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rFonts w:hint="eastAsia"/>
          <w:b/>
          <w:bCs/>
          <w:sz w:val="21"/>
          <w:szCs w:val="21"/>
        </w:rPr>
        <w:t>1.审核中发现的</w:t>
      </w:r>
      <w:r>
        <w:rPr>
          <w:rFonts w:hint="eastAsia"/>
          <w:b/>
          <w:sz w:val="21"/>
          <w:szCs w:val="21"/>
        </w:rPr>
        <w:t>□</w:t>
      </w:r>
      <w:r>
        <w:rPr>
          <w:rFonts w:hint="eastAsia"/>
          <w:b/>
          <w:bCs/>
          <w:sz w:val="21"/>
          <w:szCs w:val="21"/>
        </w:rPr>
        <w:t xml:space="preserve">QMS/GJB （  ） 个一般不符合，(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bCs/>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 xml:space="preserve"> </w:t>
      </w:r>
      <w:r>
        <w:rPr>
          <w:rFonts w:hint="eastAsia"/>
          <w:b/>
          <w:sz w:val="21"/>
          <w:szCs w:val="21"/>
        </w:rPr>
        <w:t xml:space="preserve">  </w:t>
      </w:r>
      <w:r>
        <w:rPr>
          <w:b/>
          <w:sz w:val="21"/>
          <w:szCs w:val="21"/>
        </w:rPr>
        <w:t>)</w:t>
      </w:r>
      <w:r>
        <w:rPr>
          <w:rFonts w:hint="eastAsia"/>
          <w:b/>
          <w:sz w:val="21"/>
          <w:szCs w:val="21"/>
        </w:rPr>
        <w:t>个严重不符合，</w:t>
      </w:r>
      <w:r>
        <w:rPr>
          <w:rFonts w:hint="eastAsia" w:ascii="MS Mincho" w:hAnsi="MS Mincho" w:eastAsia="MS Mincho" w:cs="MS Mincho"/>
          <w:b/>
          <w:sz w:val="21"/>
          <w:szCs w:val="21"/>
        </w:rPr>
        <w:t xml:space="preserve"> </w:t>
      </w:r>
      <w:r>
        <w:rPr>
          <w:rFonts w:hint="eastAsia"/>
          <w:b/>
          <w:sz w:val="21"/>
          <w:szCs w:val="21"/>
        </w:rPr>
        <w:t>□验证合格□仍有问题</w:t>
      </w:r>
    </w:p>
    <w:p>
      <w:pPr>
        <w:spacing w:line="360" w:lineRule="exact"/>
        <w:ind w:left="960" w:leftChars="400"/>
        <w:rPr>
          <w:b/>
          <w:sz w:val="21"/>
          <w:szCs w:val="21"/>
        </w:rPr>
      </w:pPr>
      <w:r>
        <w:rPr>
          <w:rFonts w:hint="eastAsia"/>
          <w:b/>
          <w:bCs/>
          <w:sz w:val="21"/>
          <w:szCs w:val="21"/>
        </w:rPr>
        <w:t>审核中发现的</w:t>
      </w:r>
      <w:r>
        <w:rPr>
          <w:rFonts w:hint="eastAsia"/>
          <w:b/>
          <w:sz w:val="21"/>
          <w:szCs w:val="21"/>
        </w:rPr>
        <w:t>□</w:t>
      </w:r>
      <w:r>
        <w:rPr>
          <w:b/>
          <w:sz w:val="21"/>
          <w:szCs w:val="21"/>
        </w:rPr>
        <w:t>OHSMS (</w:t>
      </w:r>
      <w:r>
        <w:rPr>
          <w:rFonts w:hint="eastAsia"/>
          <w:b/>
          <w:sz w:val="21"/>
          <w:szCs w:val="21"/>
        </w:rPr>
        <w:t xml:space="preserve"> </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rPr>
        <w:t xml:space="preserve"> </w:t>
      </w:r>
      <w:r>
        <w:rPr>
          <w:b/>
          <w:sz w:val="21"/>
          <w:szCs w:val="21"/>
        </w:rPr>
        <w:t xml:space="preserve"> )</w:t>
      </w:r>
      <w:r>
        <w:rPr>
          <w:rFonts w:hint="eastAsia"/>
          <w:b/>
          <w:sz w:val="21"/>
          <w:szCs w:val="21"/>
        </w:rPr>
        <w:t>个严重不符合，□验证合格□仍有问题</w:t>
      </w:r>
      <w:r>
        <w:rPr>
          <w:rFonts w:hint="eastAsia"/>
          <w:b/>
          <w:bCs/>
          <w:sz w:val="21"/>
          <w:szCs w:val="21"/>
        </w:rPr>
        <w:t>审核中发现的</w:t>
      </w:r>
      <w:r>
        <w:rPr>
          <w:rFonts w:hint="eastAsia"/>
          <w:b/>
          <w:sz w:val="21"/>
          <w:szCs w:val="21"/>
        </w:rPr>
        <w:t>□50430</w:t>
      </w:r>
      <w:r>
        <w:rPr>
          <w:b/>
          <w:sz w:val="21"/>
          <w:szCs w:val="21"/>
        </w:rPr>
        <w:t xml:space="preserve"> (    )</w:t>
      </w:r>
      <w:r>
        <w:rPr>
          <w:rFonts w:hint="eastAsia"/>
          <w:b/>
          <w:sz w:val="21"/>
          <w:szCs w:val="21"/>
        </w:rPr>
        <w:t>个一般不符合，</w:t>
      </w:r>
      <w:r>
        <w:rPr>
          <w:b/>
          <w:sz w:val="21"/>
          <w:szCs w:val="21"/>
        </w:rPr>
        <w:t>(    )</w:t>
      </w:r>
      <w:r>
        <w:rPr>
          <w:rFonts w:hint="eastAsia"/>
          <w:b/>
          <w:sz w:val="21"/>
          <w:szCs w:val="21"/>
        </w:rPr>
        <w:t>个严重不符合，□验证合格□仍有问题</w:t>
      </w:r>
    </w:p>
    <w:p>
      <w:pPr>
        <w:spacing w:beforeLines="50" w:line="400" w:lineRule="exact"/>
        <w:rPr>
          <w:b/>
          <w:sz w:val="21"/>
          <w:szCs w:val="21"/>
          <w:u w:val="single"/>
        </w:rPr>
      </w:pPr>
      <w:r>
        <w:rPr>
          <w:rFonts w:hint="eastAsia"/>
          <w:b/>
          <w:sz w:val="21"/>
          <w:szCs w:val="21"/>
        </w:rPr>
        <w:t>存在问题说明及意见：无</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pPr>
        <w:spacing w:line="360" w:lineRule="auto"/>
        <w:ind w:left="600"/>
        <w:rPr>
          <w:b/>
          <w:sz w:val="21"/>
          <w:szCs w:val="21"/>
          <w:u w:val="single"/>
        </w:rPr>
      </w:pPr>
      <w:r>
        <w:rPr>
          <w:rFonts w:hint="eastAsia"/>
          <w:b/>
          <w:sz w:val="21"/>
          <w:szCs w:val="21"/>
        </w:rPr>
        <w:t xml:space="preserve">组长签字：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ind w:left="783" w:hanging="783" w:hangingChars="300"/>
        <w:rPr>
          <w:b/>
          <w:sz w:val="21"/>
          <w:u w:val="single"/>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 xml:space="preserve">              2</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b/>
          <w:sz w:val="21"/>
          <w:szCs w:val="22"/>
        </w:rPr>
      </w:pPr>
      <w:r>
        <w:rPr>
          <w:rFonts w:hint="eastAsia" w:ascii="方正仿宋简体" w:eastAsia="方正仿宋简体"/>
          <w:b/>
        </w:rPr>
        <w:t>十九、</w:t>
      </w:r>
      <w:r>
        <w:rPr>
          <w:rFonts w:hint="eastAsia"/>
          <w:b/>
          <w:sz w:val="21"/>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spacing w:line="360" w:lineRule="auto"/>
        <w:ind w:left="-211" w:leftChars="-88" w:firstLine="470" w:firstLineChars="223"/>
        <w:rPr>
          <w:rFonts w:ascii="宋体" w:hAnsi="宋体"/>
          <w:b/>
          <w:sz w:val="21"/>
          <w:szCs w:val="21"/>
        </w:rPr>
      </w:pPr>
    </w:p>
    <w:p>
      <w:pPr>
        <w:spacing w:line="360" w:lineRule="auto"/>
        <w:ind w:left="-211" w:leftChars="-88" w:firstLine="470" w:firstLineChars="223"/>
        <w:rPr>
          <w:rFonts w:ascii="宋体" w:hAnsi="宋体"/>
          <w:b/>
          <w:sz w:val="21"/>
          <w:szCs w:val="21"/>
        </w:rPr>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17855"/>
    <w:multiLevelType w:val="singleLevel"/>
    <w:tmpl w:val="A1617855"/>
    <w:lvl w:ilvl="0" w:tentative="0">
      <w:start w:val="9"/>
      <w:numFmt w:val="chineseCounting"/>
      <w:suff w:val="nothing"/>
      <w:lvlText w:val="%1、"/>
      <w:lvlJc w:val="left"/>
      <w:rPr>
        <w:rFonts w:hint="eastAsia"/>
      </w:rPr>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C387D0F"/>
    <w:multiLevelType w:val="singleLevel"/>
    <w:tmpl w:val="2C387D0F"/>
    <w:lvl w:ilvl="0" w:tentative="0">
      <w:start w:val="8"/>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3567"/>
    <w:rsid w:val="00530A2F"/>
    <w:rsid w:val="005767F9"/>
    <w:rsid w:val="00610BAC"/>
    <w:rsid w:val="006715E7"/>
    <w:rsid w:val="00695479"/>
    <w:rsid w:val="006B3567"/>
    <w:rsid w:val="007942FE"/>
    <w:rsid w:val="007A2EA8"/>
    <w:rsid w:val="00981658"/>
    <w:rsid w:val="00B9427F"/>
    <w:rsid w:val="00B943E2"/>
    <w:rsid w:val="00C0248F"/>
    <w:rsid w:val="00C13159"/>
    <w:rsid w:val="00C643B1"/>
    <w:rsid w:val="00F815A6"/>
    <w:rsid w:val="741E0F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1328</Words>
  <Characters>7574</Characters>
  <Lines>63</Lines>
  <Paragraphs>17</Paragraphs>
  <TotalTime>228</TotalTime>
  <ScaleCrop>false</ScaleCrop>
  <LinksUpToDate>false</LinksUpToDate>
  <CharactersWithSpaces>8885</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别低头♛除非地上有钱$</cp:lastModifiedBy>
  <cp:lastPrinted>2019-04-18T08:15:00Z</cp:lastPrinted>
  <dcterms:modified xsi:type="dcterms:W3CDTF">2019-09-18T07:42:58Z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