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ascii="宋体"/>
          <w:b/>
          <w:color w:val="auto"/>
          <w:sz w:val="32"/>
          <w:szCs w:val="32"/>
        </w:rPr>
        <w:t>大庆倚天石油科技有限公司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2018-N1EMS-2031946</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263"/>
        <w:gridCol w:w="1302"/>
        <w:gridCol w:w="1842"/>
        <w:gridCol w:w="9"/>
        <w:gridCol w:w="126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大庆倚天石油科技有限公司</w:t>
            </w:r>
            <w:bookmarkEnd w:id="10"/>
          </w:p>
        </w:tc>
        <w:tc>
          <w:tcPr>
            <w:tcW w:w="126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912" w:type="dxa"/>
          </w:tcPr>
          <w:p>
            <w:pPr>
              <w:spacing w:line="260" w:lineRule="exact"/>
              <w:rPr>
                <w:rFonts w:hint="default" w:ascii="宋体" w:eastAsia="宋体"/>
                <w:b/>
                <w:sz w:val="21"/>
                <w:lang w:val="en-US" w:eastAsia="zh-CN"/>
              </w:rPr>
            </w:pPr>
            <w:r>
              <w:rPr>
                <w:rFonts w:hint="eastAsia" w:ascii="宋体"/>
                <w:b/>
                <w:sz w:val="21"/>
                <w:lang w:val="en-US" w:eastAsia="zh-CN"/>
              </w:rPr>
              <w:t>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黑龙江省大庆市让胡路区乘风庄南二路北公建区A11商服楼11号</w:t>
            </w:r>
            <w:bookmarkEnd w:id="11"/>
          </w:p>
        </w:tc>
        <w:tc>
          <w:tcPr>
            <w:tcW w:w="1260" w:type="dxa"/>
            <w:vMerge w:val="restart"/>
            <w:vAlign w:val="center"/>
          </w:tcPr>
          <w:p>
            <w:pPr>
              <w:jc w:val="center"/>
              <w:rPr>
                <w:rFonts w:ascii="宋体"/>
                <w:b/>
                <w:sz w:val="21"/>
              </w:rPr>
            </w:pPr>
            <w:r>
              <w:rPr>
                <w:rFonts w:hint="eastAsia" w:ascii="宋体" w:hAnsi="宋体"/>
                <w:b/>
                <w:sz w:val="21"/>
              </w:rPr>
              <w:t>邮编</w:t>
            </w:r>
          </w:p>
        </w:tc>
        <w:tc>
          <w:tcPr>
            <w:tcW w:w="1912" w:type="dxa"/>
          </w:tcPr>
          <w:p>
            <w:pPr>
              <w:rPr>
                <w:rFonts w:ascii="宋体"/>
                <w:b/>
                <w:sz w:val="21"/>
              </w:rPr>
            </w:pPr>
            <w:bookmarkStart w:id="12" w:name="注册邮编"/>
            <w:r>
              <w:rPr>
                <w:rFonts w:ascii="宋体"/>
                <w:b/>
                <w:sz w:val="21"/>
              </w:rPr>
              <w:t>163700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黑龙江省大庆市让胡路区乘风庄南二路北公建区A11商服楼11号</w:t>
            </w:r>
            <w:bookmarkEnd w:id="13"/>
          </w:p>
        </w:tc>
        <w:tc>
          <w:tcPr>
            <w:tcW w:w="1260" w:type="dxa"/>
            <w:vMerge w:val="continue"/>
            <w:vAlign w:val="center"/>
          </w:tcPr>
          <w:p>
            <w:pPr>
              <w:jc w:val="center"/>
              <w:rPr>
                <w:rFonts w:ascii="宋体"/>
                <w:b/>
                <w:sz w:val="21"/>
              </w:rPr>
            </w:pPr>
          </w:p>
        </w:tc>
        <w:tc>
          <w:tcPr>
            <w:tcW w:w="1912" w:type="dxa"/>
          </w:tcPr>
          <w:p>
            <w:pPr>
              <w:rPr>
                <w:rFonts w:ascii="宋体"/>
                <w:b/>
                <w:sz w:val="21"/>
              </w:rPr>
            </w:pPr>
            <w:bookmarkStart w:id="14" w:name="办公邮编"/>
            <w:r>
              <w:rPr>
                <w:rFonts w:ascii="宋体"/>
                <w:b/>
                <w:sz w:val="21"/>
              </w:rPr>
              <w:t>163700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黑龙江省大庆市让胡路区乘风庄南二路北公建区A11商服楼11号</w:t>
            </w:r>
            <w:bookmarkEnd w:id="15"/>
          </w:p>
        </w:tc>
        <w:tc>
          <w:tcPr>
            <w:tcW w:w="1260" w:type="dxa"/>
            <w:vMerge w:val="continue"/>
            <w:vAlign w:val="center"/>
          </w:tcPr>
          <w:p>
            <w:pPr>
              <w:jc w:val="center"/>
              <w:rPr>
                <w:rFonts w:ascii="宋体"/>
                <w:b/>
                <w:sz w:val="21"/>
              </w:rPr>
            </w:pPr>
          </w:p>
        </w:tc>
        <w:tc>
          <w:tcPr>
            <w:tcW w:w="1912" w:type="dxa"/>
          </w:tcPr>
          <w:p>
            <w:pPr>
              <w:rPr>
                <w:rFonts w:ascii="宋体"/>
                <w:b/>
                <w:sz w:val="21"/>
              </w:rPr>
            </w:pPr>
            <w:bookmarkStart w:id="16" w:name="生产邮编"/>
            <w:r>
              <w:rPr>
                <w:rFonts w:ascii="宋体"/>
                <w:b/>
                <w:sz w:val="21"/>
              </w:rPr>
              <w:t>163700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263" w:type="dxa"/>
          </w:tcPr>
          <w:p>
            <w:pPr>
              <w:rPr>
                <w:rFonts w:ascii="宋体"/>
                <w:b/>
                <w:sz w:val="21"/>
              </w:rPr>
            </w:pPr>
            <w:bookmarkStart w:id="17" w:name="联系人"/>
            <w:r>
              <w:rPr>
                <w:rFonts w:ascii="宋体"/>
                <w:b/>
                <w:sz w:val="21"/>
              </w:rPr>
              <w:t>李永福</w:t>
            </w:r>
            <w:bookmarkEnd w:id="17"/>
          </w:p>
        </w:tc>
        <w:tc>
          <w:tcPr>
            <w:tcW w:w="1302" w:type="dxa"/>
            <w:vAlign w:val="center"/>
          </w:tcPr>
          <w:p>
            <w:pPr>
              <w:jc w:val="center"/>
              <w:rPr>
                <w:rFonts w:ascii="宋体"/>
                <w:b/>
                <w:sz w:val="21"/>
              </w:rPr>
            </w:pPr>
            <w:r>
              <w:rPr>
                <w:rFonts w:hint="eastAsia" w:ascii="宋体" w:hAnsi="宋体"/>
                <w:b/>
                <w:sz w:val="21"/>
              </w:rPr>
              <w:t>电话</w:t>
            </w:r>
            <w:r>
              <w:rPr>
                <w:b/>
                <w:sz w:val="16"/>
                <w:szCs w:val="16"/>
              </w:rPr>
              <w:t>.</w:t>
            </w:r>
          </w:p>
        </w:tc>
        <w:tc>
          <w:tcPr>
            <w:tcW w:w="1851" w:type="dxa"/>
            <w:gridSpan w:val="2"/>
            <w:vAlign w:val="center"/>
          </w:tcPr>
          <w:p>
            <w:pPr>
              <w:jc w:val="center"/>
              <w:rPr>
                <w:rFonts w:ascii="宋体"/>
                <w:b/>
                <w:sz w:val="21"/>
              </w:rPr>
            </w:pPr>
            <w:bookmarkStart w:id="18" w:name="联系人电话Add"/>
            <w:r>
              <w:rPr>
                <w:rFonts w:ascii="宋体"/>
                <w:b/>
                <w:sz w:val="21"/>
              </w:rPr>
              <w:t>18345912648</w:t>
            </w:r>
            <w:bookmarkEnd w:id="18"/>
          </w:p>
        </w:tc>
        <w:tc>
          <w:tcPr>
            <w:tcW w:w="1260" w:type="dxa"/>
            <w:vAlign w:val="center"/>
          </w:tcPr>
          <w:p>
            <w:pPr>
              <w:jc w:val="center"/>
              <w:rPr>
                <w:rFonts w:ascii="宋体"/>
                <w:b/>
                <w:sz w:val="21"/>
              </w:rPr>
            </w:pPr>
            <w:r>
              <w:rPr>
                <w:rFonts w:hint="eastAsia" w:ascii="宋体" w:hAnsi="宋体"/>
                <w:b/>
                <w:sz w:val="21"/>
              </w:rPr>
              <w:t>传真</w:t>
            </w:r>
          </w:p>
        </w:tc>
        <w:tc>
          <w:tcPr>
            <w:tcW w:w="1912"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bCs w:val="0"/>
                <w:sz w:val="21"/>
                <w:szCs w:val="21"/>
              </w:rPr>
            </w:pPr>
            <w:r>
              <w:rPr>
                <w:rFonts w:hint="eastAsia" w:ascii="宋体" w:hAnsi="宋体"/>
                <w:b/>
                <w:bCs w:val="0"/>
                <w:sz w:val="21"/>
                <w:szCs w:val="21"/>
              </w:rPr>
              <w:t>法人代表</w:t>
            </w:r>
          </w:p>
        </w:tc>
        <w:tc>
          <w:tcPr>
            <w:tcW w:w="1263" w:type="dxa"/>
            <w:vAlign w:val="center"/>
          </w:tcPr>
          <w:p>
            <w:pPr>
              <w:jc w:val="center"/>
              <w:rPr>
                <w:rFonts w:ascii="宋体" w:hAnsi="宋体"/>
                <w:b/>
                <w:bCs w:val="0"/>
                <w:sz w:val="21"/>
                <w:szCs w:val="21"/>
              </w:rPr>
            </w:pPr>
            <w:r>
              <w:rPr>
                <w:rFonts w:hint="eastAsia"/>
                <w:b/>
                <w:bCs w:val="0"/>
                <w:sz w:val="20"/>
                <w:lang w:val="en-US" w:eastAsia="zh-CN"/>
              </w:rPr>
              <w:t>张晋锋</w:t>
            </w:r>
          </w:p>
        </w:tc>
        <w:tc>
          <w:tcPr>
            <w:tcW w:w="1302" w:type="dxa"/>
            <w:vAlign w:val="center"/>
          </w:tcPr>
          <w:p>
            <w:pPr>
              <w:jc w:val="center"/>
              <w:rPr>
                <w:rFonts w:ascii="宋体" w:hAnsi="宋体"/>
                <w:b/>
                <w:bCs w:val="0"/>
                <w:sz w:val="21"/>
                <w:szCs w:val="21"/>
              </w:rPr>
            </w:pPr>
            <w:r>
              <w:rPr>
                <w:rFonts w:hint="eastAsia" w:ascii="宋体" w:hAnsi="宋体"/>
                <w:b/>
                <w:bCs w:val="0"/>
                <w:sz w:val="21"/>
                <w:szCs w:val="21"/>
              </w:rPr>
              <w:t>总经理</w:t>
            </w:r>
          </w:p>
        </w:tc>
        <w:tc>
          <w:tcPr>
            <w:tcW w:w="1851" w:type="dxa"/>
            <w:gridSpan w:val="2"/>
            <w:vAlign w:val="center"/>
          </w:tcPr>
          <w:p>
            <w:pPr>
              <w:jc w:val="center"/>
              <w:rPr>
                <w:rFonts w:ascii="宋体" w:hAnsi="宋体"/>
                <w:b/>
                <w:bCs w:val="0"/>
                <w:sz w:val="21"/>
                <w:szCs w:val="21"/>
              </w:rPr>
            </w:pPr>
            <w:r>
              <w:rPr>
                <w:rFonts w:hint="eastAsia"/>
                <w:b/>
                <w:bCs w:val="0"/>
                <w:sz w:val="20"/>
                <w:lang w:val="en-US" w:eastAsia="zh-CN"/>
              </w:rPr>
              <w:t>张晋锋</w:t>
            </w:r>
          </w:p>
        </w:tc>
        <w:tc>
          <w:tcPr>
            <w:tcW w:w="1260" w:type="dxa"/>
            <w:vAlign w:val="center"/>
          </w:tcPr>
          <w:p>
            <w:pPr>
              <w:jc w:val="center"/>
              <w:rPr>
                <w:rFonts w:ascii="宋体" w:hAnsi="宋体"/>
                <w:b/>
                <w:sz w:val="21"/>
                <w:szCs w:val="21"/>
              </w:rPr>
            </w:pPr>
            <w:r>
              <w:rPr>
                <w:rFonts w:hint="eastAsia" w:ascii="宋体" w:hAnsi="宋体"/>
                <w:b/>
                <w:sz w:val="21"/>
                <w:szCs w:val="21"/>
              </w:rPr>
              <w:t>管理者代表</w:t>
            </w:r>
          </w:p>
        </w:tc>
        <w:tc>
          <w:tcPr>
            <w:tcW w:w="1912" w:type="dxa"/>
          </w:tcPr>
          <w:p>
            <w:pPr>
              <w:rPr>
                <w:rFonts w:ascii="宋体"/>
                <w:b/>
                <w:sz w:val="21"/>
              </w:rPr>
            </w:pPr>
            <w:bookmarkStart w:id="20" w:name="管理者代表"/>
            <w:r>
              <w:rPr>
                <w:rFonts w:ascii="宋体"/>
                <w:b/>
                <w:sz w:val="21"/>
              </w:rPr>
              <w:t>李永福</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565" w:type="dxa"/>
            <w:gridSpan w:val="2"/>
            <w:vAlign w:val="center"/>
          </w:tcPr>
          <w:p>
            <w:pPr>
              <w:rPr>
                <w:rFonts w:ascii="宋体" w:hAnsi="宋体"/>
                <w:b/>
                <w:sz w:val="21"/>
                <w:szCs w:val="21"/>
              </w:rPr>
            </w:pPr>
            <w:bookmarkStart w:id="21" w:name="审核日期"/>
            <w:r>
              <w:rPr>
                <w:rFonts w:ascii="宋体" w:hAnsi="宋体"/>
                <w:b/>
                <w:sz w:val="21"/>
                <w:szCs w:val="21"/>
              </w:rPr>
              <w:t>2020年08月18日 上午至2020年08月19日 下午</w:t>
            </w:r>
            <w:bookmarkEnd w:id="21"/>
          </w:p>
        </w:tc>
        <w:tc>
          <w:tcPr>
            <w:tcW w:w="1842"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bCs/>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bookmarkStart w:id="25" w:name="审核范围"/>
            <w:r>
              <w:rPr>
                <w:b/>
                <w:bCs/>
                <w:sz w:val="20"/>
              </w:rPr>
              <w:t>石油钻采专用设备及配件、紧固件、泵及配件、篷、帆布的销售过程所涉及的相关环境管理活动。</w:t>
            </w:r>
            <w:bookmarkEnd w:id="25"/>
          </w:p>
          <w:p>
            <w:pPr>
              <w:tabs>
                <w:tab w:val="left" w:pos="5011"/>
              </w:tabs>
              <w:spacing w:line="360" w:lineRule="exact"/>
              <w:rPr>
                <w:rFonts w:hint="eastAsia" w:ascii="宋体" w:hAnsi="宋体" w:eastAsia="宋体"/>
                <w:b/>
                <w:sz w:val="21"/>
                <w:szCs w:val="21"/>
                <w:lang w:eastAsia="zh-CN"/>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b/>
                <w:sz w:val="21"/>
                <w:szCs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263" w:type="dxa"/>
          </w:tcPr>
          <w:p>
            <w:pPr>
              <w:spacing w:line="260" w:lineRule="exact"/>
              <w:rPr>
                <w:rFonts w:ascii="宋体" w:hAnsi="宋体"/>
                <w:b/>
                <w:sz w:val="21"/>
                <w:szCs w:val="21"/>
              </w:rPr>
            </w:pPr>
            <w:bookmarkStart w:id="27" w:name="专业代码"/>
            <w:r>
              <w:rPr>
                <w:rFonts w:ascii="宋体" w:hAnsi="宋体"/>
                <w:b/>
                <w:sz w:val="21"/>
                <w:szCs w:val="21"/>
              </w:rPr>
              <w:t>29.12.00</w:t>
            </w:r>
            <w:bookmarkEnd w:id="27"/>
          </w:p>
        </w:tc>
        <w:tc>
          <w:tcPr>
            <w:tcW w:w="1302"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51"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2022年11月4日</w:t>
            </w:r>
          </w:p>
        </w:tc>
        <w:tc>
          <w:tcPr>
            <w:tcW w:w="126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12" w:type="dxa"/>
          </w:tcPr>
          <w:p>
            <w:pPr>
              <w:spacing w:line="260" w:lineRule="exact"/>
              <w:rPr>
                <w:rFonts w:hint="default" w:ascii="宋体" w:eastAsia="宋体"/>
                <w:b/>
                <w:sz w:val="21"/>
                <w:u w:val="none"/>
                <w:lang w:val="en-US" w:eastAsia="zh-CN"/>
              </w:rPr>
            </w:pPr>
            <w:r>
              <w:rPr>
                <w:b/>
                <w:color w:val="000000" w:themeColor="text1"/>
                <w:spacing w:val="-10"/>
                <w:szCs w:val="21"/>
                <w:u w:val="none"/>
              </w:rPr>
              <w:t>2019</w:t>
            </w:r>
            <w:r>
              <w:rPr>
                <w:rFonts w:hint="eastAsia"/>
                <w:b/>
                <w:color w:val="000000" w:themeColor="text1"/>
                <w:spacing w:val="-10"/>
                <w:szCs w:val="21"/>
                <w:u w:val="none"/>
              </w:rPr>
              <w:t>年10月7日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rFonts w:ascii="Times New Roman" w:hAnsi="Times New Roman" w:eastAsia="宋体" w:cs="Times New Roman"/>
          <w:kern w:val="2"/>
          <w:sz w:val="24"/>
          <w:lang w:val="en-US" w:eastAsia="zh-CN" w:bidi="ar-SA"/>
        </w:rPr>
      </w:pPr>
      <w:r>
        <w:rPr>
          <w:rFonts w:hint="eastAsia"/>
          <w:b/>
          <w:sz w:val="26"/>
          <w:szCs w:val="26"/>
        </w:rPr>
        <w:t>审核证据及审核发现综述</w:t>
      </w:r>
    </w:p>
    <w:tbl>
      <w:tblPr>
        <w:tblStyle w:val="5"/>
        <w:tblpPr w:leftFromText="180" w:rightFromText="180" w:vertAnchor="text" w:horzAnchor="page" w:tblpX="1020" w:tblpY="518"/>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2" w:firstLineChars="200"/>
              <w:rPr>
                <w:b/>
                <w:color w:val="000000" w:themeColor="text1"/>
                <w:sz w:val="20"/>
                <w:szCs w:val="20"/>
              </w:rPr>
            </w:pPr>
            <w:r>
              <w:rPr>
                <w:rFonts w:hint="eastAsia"/>
                <w:b/>
                <w:color w:val="000000" w:themeColor="text1"/>
                <w:sz w:val="20"/>
                <w:szCs w:val="20"/>
              </w:rPr>
              <w:t>认证范围：</w:t>
            </w:r>
            <w:r>
              <w:rPr>
                <w:rFonts w:hint="eastAsia" w:ascii="宋体" w:hAnsi="宋体"/>
                <w:b/>
                <w:color w:val="000000" w:themeColor="text1"/>
                <w:sz w:val="20"/>
                <w:szCs w:val="20"/>
              </w:rPr>
              <w:t>石油钻采专用设备及配件、石油机械设备及配件、紧固件、泵及配件、橡胶制品（井口盘根、密封圈、密封条）、</w:t>
            </w:r>
            <w:r>
              <w:rPr>
                <w:rFonts w:hint="eastAsia" w:ascii="宋体" w:hAnsi="宋体"/>
                <w:b/>
                <w:color w:val="000000" w:themeColor="text1"/>
                <w:sz w:val="20"/>
                <w:szCs w:val="20"/>
                <w:lang w:val="en-US" w:eastAsia="zh-CN"/>
              </w:rPr>
              <w:t>蓬、帆布</w:t>
            </w:r>
            <w:r>
              <w:rPr>
                <w:rFonts w:hint="eastAsia" w:ascii="宋体" w:hAnsi="宋体"/>
                <w:b/>
                <w:color w:val="000000" w:themeColor="text1"/>
                <w:sz w:val="20"/>
                <w:szCs w:val="20"/>
              </w:rPr>
              <w:t>的销售过程所涉及的相关环境管理活动。</w:t>
            </w:r>
            <w:r>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2" w:firstLineChars="200"/>
              <w:rPr>
                <w:b/>
                <w:color w:val="000000" w:themeColor="text1"/>
                <w:sz w:val="20"/>
                <w:szCs w:val="20"/>
              </w:rPr>
            </w:pPr>
            <w:r>
              <w:rPr>
                <w:rFonts w:hint="eastAsia"/>
                <w:b/>
                <w:color w:val="000000" w:themeColor="text1"/>
                <w:sz w:val="20"/>
                <w:szCs w:val="20"/>
              </w:rPr>
              <w:t>提供了《组织内外部环境因素识别表》：</w:t>
            </w:r>
          </w:p>
          <w:p>
            <w:pPr>
              <w:spacing w:line="240" w:lineRule="exact"/>
              <w:ind w:firstLine="402" w:firstLineChars="200"/>
              <w:rPr>
                <w:b/>
                <w:color w:val="000000" w:themeColor="text1"/>
                <w:sz w:val="20"/>
                <w:szCs w:val="20"/>
              </w:rPr>
            </w:pPr>
            <w:r>
              <w:rPr>
                <w:rFonts w:hint="eastAsia"/>
                <w:b/>
                <w:color w:val="000000" w:themeColor="text1"/>
                <w:sz w:val="20"/>
                <w:szCs w:val="20"/>
              </w:rPr>
              <w:t>内部环境：资源因素－公司提供符合</w:t>
            </w:r>
            <w:r>
              <w:rPr>
                <w:rFonts w:hint="eastAsia" w:ascii="宋体" w:hAnsi="宋体"/>
                <w:b/>
                <w:color w:val="000000" w:themeColor="text1"/>
                <w:sz w:val="20"/>
                <w:szCs w:val="20"/>
              </w:rPr>
              <w:t>石油钻采专用设备及配件、石油机械设备及配件、紧固件、泵及配件、橡胶制品（井口盘根、密封圈、密封条）、</w:t>
            </w:r>
            <w:r>
              <w:rPr>
                <w:rFonts w:hint="eastAsia" w:ascii="宋体" w:hAnsi="宋体"/>
                <w:b/>
                <w:color w:val="000000" w:themeColor="text1"/>
                <w:sz w:val="20"/>
                <w:szCs w:val="20"/>
                <w:lang w:val="en-US" w:eastAsia="zh-CN"/>
              </w:rPr>
              <w:t>蓬、帆布</w:t>
            </w:r>
            <w:r>
              <w:rPr>
                <w:rFonts w:hint="eastAsia" w:ascii="宋体" w:hAnsi="宋体"/>
                <w:b/>
                <w:color w:val="000000" w:themeColor="text1"/>
                <w:sz w:val="20"/>
                <w:szCs w:val="20"/>
              </w:rPr>
              <w:t>的销售过程所涉及的相关环境管理活动</w:t>
            </w:r>
            <w:r>
              <w:rPr>
                <w:rFonts w:hint="eastAsia"/>
                <w:b/>
                <w:color w:val="000000" w:themeColor="text1"/>
                <w:sz w:val="20"/>
                <w:szCs w:val="20"/>
              </w:rPr>
              <w:t>的场所，配备适宜的硬件和软件设施设备。信息来源：设施设备清单－具体现状描述：本公司设施设备可以确保</w:t>
            </w:r>
            <w:r>
              <w:rPr>
                <w:rFonts w:hint="eastAsia" w:ascii="宋体" w:hAnsi="宋体"/>
                <w:b/>
                <w:color w:val="000000" w:themeColor="text1"/>
                <w:sz w:val="20"/>
                <w:szCs w:val="20"/>
              </w:rPr>
              <w:t>石油钻采专用设备及配件、石油机械设备及配件、紧固件、泵及配件、橡胶制品（井口盘根、密封圈、密封条）、</w:t>
            </w:r>
            <w:r>
              <w:rPr>
                <w:rFonts w:hint="eastAsia" w:ascii="宋体" w:hAnsi="宋体"/>
                <w:b/>
                <w:color w:val="000000" w:themeColor="text1"/>
                <w:sz w:val="20"/>
                <w:szCs w:val="20"/>
                <w:lang w:val="en-US" w:eastAsia="zh-CN"/>
              </w:rPr>
              <w:t>蓬、帆布</w:t>
            </w:r>
            <w:r>
              <w:rPr>
                <w:rFonts w:hint="eastAsia" w:ascii="宋体" w:hAnsi="宋体"/>
                <w:b/>
                <w:color w:val="000000" w:themeColor="text1"/>
                <w:sz w:val="20"/>
                <w:szCs w:val="20"/>
              </w:rPr>
              <w:t>的销售过程所涉及的相关环境管理活动。</w:t>
            </w:r>
          </w:p>
          <w:p>
            <w:pPr>
              <w:spacing w:line="240" w:lineRule="exact"/>
              <w:ind w:firstLine="402" w:firstLineChars="200"/>
              <w:rPr>
                <w:b/>
                <w:color w:val="000000" w:themeColor="text1"/>
                <w:sz w:val="20"/>
                <w:szCs w:val="20"/>
              </w:rPr>
            </w:pPr>
            <w:r>
              <w:rPr>
                <w:rFonts w:hint="eastAsia"/>
                <w:b/>
                <w:color w:val="000000" w:themeColor="text1"/>
                <w:sz w:val="20"/>
                <w:szCs w:val="20"/>
              </w:rPr>
              <w:t>外部环境：竞争力－公司类别：</w:t>
            </w:r>
            <w:r>
              <w:rPr>
                <w:rFonts w:hint="eastAsia" w:ascii="宋体" w:hAnsi="宋体"/>
                <w:b/>
                <w:color w:val="000000" w:themeColor="text1"/>
                <w:sz w:val="20"/>
                <w:szCs w:val="20"/>
              </w:rPr>
              <w:t>石油钻采专用设备及配件、石油机械设备及配件、紧固件、泵及配件、橡胶制品（井口盘根、密封圈、密封条）、</w:t>
            </w:r>
            <w:r>
              <w:rPr>
                <w:rFonts w:hint="eastAsia" w:ascii="宋体" w:hAnsi="宋体"/>
                <w:b/>
                <w:color w:val="000000" w:themeColor="text1"/>
                <w:sz w:val="20"/>
                <w:szCs w:val="20"/>
                <w:lang w:val="en-US" w:eastAsia="zh-CN"/>
              </w:rPr>
              <w:t>蓬、帆布</w:t>
            </w:r>
            <w:r>
              <w:rPr>
                <w:rFonts w:hint="eastAsia" w:ascii="宋体" w:hAnsi="宋体"/>
                <w:b/>
                <w:color w:val="000000" w:themeColor="text1"/>
                <w:sz w:val="20"/>
                <w:szCs w:val="20"/>
              </w:rPr>
              <w:t>的销售过程所涉及的相关环境管理活动</w:t>
            </w:r>
            <w:r>
              <w:rPr>
                <w:rFonts w:hint="eastAsia"/>
                <w:b/>
                <w:color w:val="000000" w:themeColor="text1"/>
                <w:sz w:val="20"/>
                <w:szCs w:val="20"/>
              </w:rPr>
              <w:t>，当前市场占有率不高，其他类似企业比较多－信息来源：市场调查和分析－具体现状描述：本公司产品质量稳定，但在市场中同行多，竞争压力大。</w:t>
            </w:r>
          </w:p>
          <w:p>
            <w:pPr>
              <w:spacing w:line="240" w:lineRule="exact"/>
              <w:ind w:firstLine="402" w:firstLineChars="200"/>
              <w:rPr>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2" w:firstLineChars="200"/>
              <w:rPr>
                <w:b/>
                <w:color w:val="000000" w:themeColor="text1"/>
                <w:sz w:val="20"/>
                <w:szCs w:val="20"/>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Pr>
                <w:b/>
                <w:color w:val="000000" w:themeColor="text1"/>
                <w:sz w:val="20"/>
                <w:szCs w:val="20"/>
              </w:rPr>
              <w:t>,</w:t>
            </w:r>
            <w:r>
              <w:rPr>
                <w:rFonts w:hint="eastAsia"/>
                <w:b/>
                <w:color w:val="000000" w:themeColor="text1"/>
                <w:sz w:val="20"/>
                <w:szCs w:val="20"/>
              </w:rPr>
              <w:t>具体部门及识别见管理评审输入。主要顾客群：</w:t>
            </w:r>
            <w:r>
              <w:rPr>
                <w:rFonts w:hint="eastAsia"/>
                <w:b/>
                <w:bCs w:val="0"/>
                <w:color w:val="000000" w:themeColor="text1"/>
                <w:sz w:val="21"/>
                <w:szCs w:val="21"/>
                <w:lang w:val="en-US" w:eastAsia="zh-CN"/>
              </w:rPr>
              <w:t>中石油大庆采油一厂、采油二厂、采油三厂、采油五厂</w:t>
            </w:r>
            <w:r>
              <w:rPr>
                <w:rFonts w:hint="eastAsia"/>
                <w:b/>
                <w:bCs w:val="0"/>
                <w:color w:val="000000" w:themeColor="text1"/>
                <w:sz w:val="21"/>
                <w:szCs w:val="21"/>
              </w:rPr>
              <w:t>等</w:t>
            </w:r>
          </w:p>
          <w:p>
            <w:pPr>
              <w:spacing w:line="240" w:lineRule="exact"/>
              <w:ind w:firstLine="402" w:firstLineChars="200"/>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pPr>
              <w:spacing w:line="240" w:lineRule="exact"/>
              <w:ind w:firstLine="402" w:firstLineChars="200"/>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相关方期望或要求监测与更新：管理者代表每年在管理评审前组织一次全面的内外部内外部环境要素识别与评审。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bCs w:val="0"/>
                <w:color w:val="000000" w:themeColor="text1"/>
                <w:sz w:val="21"/>
                <w:szCs w:val="21"/>
              </w:rPr>
            </w:pPr>
            <w:r>
              <w:rPr>
                <w:b/>
                <w:bCs w:val="0"/>
                <w:color w:val="000000" w:themeColor="text1"/>
                <w:sz w:val="21"/>
                <w:szCs w:val="21"/>
              </w:rPr>
              <w:t>3.</w:t>
            </w:r>
            <w:r>
              <w:rPr>
                <w:rFonts w:hint="eastAsia" w:ascii="宋体" w:hAnsi="宋体"/>
                <w:b/>
                <w:color w:val="000000" w:themeColor="text1"/>
                <w:szCs w:val="21"/>
              </w:rPr>
              <w:sym w:font="Wingdings 2" w:char="00A3"/>
            </w:r>
            <w:r>
              <w:rPr>
                <w:rFonts w:hint="eastAsia" w:ascii="宋体" w:hAnsi="宋体"/>
                <w:b/>
                <w:bCs w:val="0"/>
                <w:color w:val="000000" w:themeColor="text1"/>
                <w:sz w:val="21"/>
                <w:szCs w:val="21"/>
              </w:rPr>
              <w:t>质量/</w:t>
            </w:r>
            <w:r>
              <w:rPr>
                <w:rFonts w:hint="eastAsia" w:ascii="宋体" w:hAnsi="宋体"/>
                <w:b/>
                <w:color w:val="000000" w:themeColor="text1"/>
                <w:szCs w:val="21"/>
              </w:rPr>
              <w:sym w:font="Wingdings 2" w:char="0052"/>
            </w:r>
            <w:r>
              <w:rPr>
                <w:rFonts w:hint="eastAsia" w:ascii="宋体" w:hAnsi="宋体"/>
                <w:b/>
                <w:bCs w:val="0"/>
                <w:color w:val="000000" w:themeColor="text1"/>
                <w:sz w:val="21"/>
                <w:szCs w:val="21"/>
              </w:rPr>
              <w:t>环境/</w:t>
            </w:r>
            <w:r>
              <w:rPr>
                <w:rFonts w:hint="eastAsia" w:ascii="宋体" w:hAnsi="宋体"/>
                <w:b/>
                <w:color w:val="000000" w:themeColor="text1"/>
                <w:szCs w:val="21"/>
              </w:rPr>
              <w:sym w:font="Wingdings 2" w:char="00A3"/>
            </w:r>
            <w:r>
              <w:rPr>
                <w:rFonts w:hint="eastAsia" w:ascii="宋体" w:hAnsi="宋体"/>
                <w:b/>
                <w:bCs w:val="0"/>
                <w:color w:val="000000" w:themeColor="text1"/>
                <w:sz w:val="21"/>
                <w:szCs w:val="21"/>
              </w:rPr>
              <w:t>职业健康安全方针（组织</w:t>
            </w:r>
            <w:r>
              <w:rPr>
                <w:rFonts w:hint="eastAsia"/>
                <w:b/>
                <w:bCs w:val="0"/>
                <w:color w:val="000000" w:themeColor="text1"/>
                <w:sz w:val="21"/>
                <w:szCs w:val="21"/>
              </w:rPr>
              <w:t>方针</w:t>
            </w:r>
            <w:r>
              <w:rPr>
                <w:rFonts w:hint="eastAsia" w:ascii="宋体" w:hAnsi="宋体"/>
                <w:b/>
                <w:bCs w:val="0"/>
                <w:color w:val="000000" w:themeColor="text1"/>
                <w:sz w:val="21"/>
                <w:szCs w:val="21"/>
              </w:rPr>
              <w:t>的适宜性/持续适宜性、方针的传达及职工的理解等）</w:t>
            </w:r>
          </w:p>
          <w:p>
            <w:pPr>
              <w:tabs>
                <w:tab w:val="left" w:pos="2535"/>
              </w:tabs>
              <w:spacing w:line="240" w:lineRule="exact"/>
              <w:ind w:firstLine="632" w:firstLineChars="300"/>
              <w:rPr>
                <w:rFonts w:asciiTheme="minorEastAsia" w:hAnsiTheme="minorEastAsia" w:eastAsiaTheme="minorEastAsia"/>
                <w:b/>
                <w:bCs w:val="0"/>
                <w:sz w:val="21"/>
                <w:szCs w:val="21"/>
              </w:rPr>
            </w:pPr>
            <w:r>
              <w:rPr>
                <w:rFonts w:hint="eastAsia"/>
                <w:b/>
                <w:bCs w:val="0"/>
                <w:color w:val="000000" w:themeColor="text1"/>
                <w:sz w:val="21"/>
                <w:szCs w:val="21"/>
              </w:rPr>
              <w:t>管理方针：</w:t>
            </w:r>
            <w:r>
              <w:rPr>
                <w:rFonts w:hint="eastAsia" w:asciiTheme="minorEastAsia" w:hAnsiTheme="minorEastAsia" w:eastAsiaTheme="minorEastAsia"/>
                <w:b/>
                <w:bCs w:val="0"/>
                <w:color w:val="000000" w:themeColor="text1"/>
                <w:sz w:val="21"/>
                <w:szCs w:val="21"/>
              </w:rPr>
              <w:t>“</w:t>
            </w:r>
            <w:r>
              <w:rPr>
                <w:rFonts w:hint="eastAsia" w:asciiTheme="minorEastAsia" w:hAnsiTheme="minorEastAsia" w:eastAsiaTheme="minorEastAsia"/>
                <w:b/>
                <w:bCs w:val="0"/>
                <w:sz w:val="21"/>
                <w:szCs w:val="21"/>
              </w:rPr>
              <w:t xml:space="preserve">顾客至上 遵规守信 崇尚科技 创立“倚天”品牌  </w:t>
            </w:r>
          </w:p>
          <w:p>
            <w:pPr>
              <w:tabs>
                <w:tab w:val="left" w:pos="2535"/>
              </w:tabs>
              <w:spacing w:line="240" w:lineRule="exact"/>
              <w:ind w:firstLine="422" w:firstLineChars="200"/>
              <w:rPr>
                <w:rFonts w:asciiTheme="minorEastAsia" w:hAnsiTheme="minorEastAsia" w:eastAsiaTheme="minorEastAsia"/>
                <w:b/>
                <w:bCs w:val="0"/>
                <w:sz w:val="21"/>
                <w:szCs w:val="21"/>
              </w:rPr>
            </w:pPr>
            <w:r>
              <w:rPr>
                <w:rFonts w:hint="eastAsia" w:asciiTheme="minorEastAsia" w:hAnsiTheme="minorEastAsia" w:eastAsiaTheme="minorEastAsia"/>
                <w:b/>
                <w:bCs w:val="0"/>
                <w:sz w:val="21"/>
                <w:szCs w:val="21"/>
              </w:rPr>
              <w:t xml:space="preserve"> 安全第一 预防为主 环保先行 确保健康 走可持续发展之路</w:t>
            </w:r>
            <w:r>
              <w:rPr>
                <w:rFonts w:hint="eastAsia" w:asciiTheme="minorEastAsia" w:hAnsiTheme="minorEastAsia" w:eastAsiaTheme="minorEastAsia"/>
                <w:b/>
                <w:bCs w:val="0"/>
                <w:color w:val="000000" w:themeColor="text1"/>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bCs w:val="0"/>
                <w:color w:val="000000" w:themeColor="text1"/>
                <w:sz w:val="21"/>
                <w:szCs w:val="21"/>
              </w:rPr>
            </w:pPr>
            <w:r>
              <w:rPr>
                <w:b/>
                <w:bCs w:val="0"/>
                <w:color w:val="000000" w:themeColor="text1"/>
                <w:sz w:val="21"/>
                <w:szCs w:val="21"/>
              </w:rPr>
              <w:t>4</w:t>
            </w:r>
            <w:r>
              <w:rPr>
                <w:rFonts w:hint="eastAsia"/>
                <w:b/>
                <w:bCs w:val="0"/>
                <w:color w:val="000000" w:themeColor="text1"/>
                <w:sz w:val="21"/>
                <w:szCs w:val="21"/>
              </w:rPr>
              <w:t>、风险识别与控制策划（</w:t>
            </w:r>
            <w:r>
              <w:rPr>
                <w:b/>
                <w:bCs w:val="0"/>
                <w:color w:val="000000" w:themeColor="text1"/>
                <w:sz w:val="21"/>
                <w:szCs w:val="21"/>
              </w:rPr>
              <w:t>QES</w:t>
            </w:r>
            <w:r>
              <w:rPr>
                <w:rFonts w:hint="eastAsia"/>
                <w:b/>
                <w:bCs w:val="0"/>
                <w:color w:val="000000" w:themeColor="text1"/>
                <w:sz w:val="21"/>
                <w:szCs w:val="21"/>
              </w:rPr>
              <w:t>）</w:t>
            </w:r>
          </w:p>
          <w:p>
            <w:pPr>
              <w:spacing w:line="240" w:lineRule="exact"/>
              <w:ind w:firstLine="420"/>
              <w:rPr>
                <w:b/>
                <w:bCs w:val="0"/>
                <w:color w:val="000000" w:themeColor="text1"/>
                <w:sz w:val="21"/>
                <w:szCs w:val="21"/>
              </w:rPr>
            </w:pPr>
            <w:r>
              <w:rPr>
                <w:rFonts w:hint="eastAsia"/>
                <w:b/>
                <w:bCs w:val="0"/>
                <w:color w:val="000000" w:themeColor="text1"/>
                <w:sz w:val="21"/>
                <w:szCs w:val="21"/>
              </w:rPr>
              <w:t>制定了《风险和机遇的应对控制程序》，明确风险和机遇事件的识别方法</w:t>
            </w:r>
            <w:r>
              <w:rPr>
                <w:b/>
                <w:bCs w:val="0"/>
                <w:color w:val="000000" w:themeColor="text1"/>
                <w:sz w:val="21"/>
                <w:szCs w:val="21"/>
              </w:rPr>
              <w:t>/</w:t>
            </w:r>
            <w:r>
              <w:rPr>
                <w:rFonts w:hint="eastAsia"/>
                <w:b/>
                <w:bCs w:val="0"/>
                <w:color w:val="000000" w:themeColor="text1"/>
                <w:sz w:val="21"/>
                <w:szCs w:val="21"/>
              </w:rPr>
              <w:t>途径、风险和机遇事件的评估方式、制定主要风险和机遇事件的应对措施的要求、评价这些措施有效性的方法。</w:t>
            </w:r>
          </w:p>
          <w:p>
            <w:pPr>
              <w:spacing w:line="240" w:lineRule="exact"/>
              <w:ind w:firstLine="420"/>
              <w:rPr>
                <w:b/>
                <w:bCs w:val="0"/>
                <w:color w:val="000000" w:themeColor="text1"/>
                <w:sz w:val="21"/>
                <w:szCs w:val="21"/>
              </w:rPr>
            </w:pPr>
            <w:r>
              <w:rPr>
                <w:rFonts w:hint="eastAsia"/>
                <w:b/>
                <w:bCs w:val="0"/>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2" w:firstLineChars="200"/>
              <w:rPr>
                <w:b/>
                <w:bCs w:val="0"/>
                <w:color w:val="000000" w:themeColor="text1"/>
                <w:sz w:val="21"/>
                <w:szCs w:val="21"/>
              </w:rPr>
            </w:pPr>
            <w:r>
              <w:rPr>
                <w:rFonts w:hint="eastAsia"/>
                <w:b/>
                <w:bCs w:val="0"/>
                <w:color w:val="000000" w:themeColor="text1"/>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2" w:firstLineChars="200"/>
              <w:rPr>
                <w:b/>
                <w:bCs w:val="0"/>
                <w:color w:val="000000" w:themeColor="text1"/>
                <w:sz w:val="21"/>
                <w:szCs w:val="21"/>
              </w:rPr>
            </w:pPr>
            <w:r>
              <w:rPr>
                <w:rFonts w:hint="eastAsia"/>
                <w:b/>
                <w:bCs w:val="0"/>
                <w:color w:val="000000" w:themeColor="text1"/>
                <w:sz w:val="21"/>
                <w:szCs w:val="21"/>
              </w:rPr>
              <w:t>机遇主要是现在社会需求不断增多，</w:t>
            </w:r>
            <w:r>
              <w:rPr>
                <w:rFonts w:hint="eastAsia"/>
                <w:b/>
                <w:bCs w:val="0"/>
                <w:color w:val="000000" w:themeColor="text1"/>
                <w:sz w:val="21"/>
                <w:szCs w:val="21"/>
                <w:lang w:val="en-US" w:eastAsia="zh-CN"/>
              </w:rPr>
              <w:t>质量、品牌</w:t>
            </w:r>
            <w:r>
              <w:rPr>
                <w:rFonts w:hint="eastAsia"/>
                <w:b/>
                <w:bCs w:val="0"/>
                <w:color w:val="000000" w:themeColor="text1"/>
                <w:sz w:val="21"/>
                <w:szCs w:val="21"/>
              </w:rPr>
              <w:t>意识越来越强等。</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质量管理体系过程有：人力资源、基础设施、文件、机构、职责、服务的要求、外部提供的产品和服务、产品放行、不合格输出控制、绩效评价和改进等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过程 </w:t>
            </w:r>
            <w:r>
              <w:rPr>
                <w:rFonts w:hint="eastAsia" w:ascii="宋体" w:hAnsi="宋体"/>
                <w:b/>
                <w:color w:val="000000" w:themeColor="text1"/>
                <w:sz w:val="20"/>
                <w:szCs w:val="20"/>
                <w:u w:val="single"/>
                <w:lang w:val="en-US" w:eastAsia="zh-CN"/>
              </w:rPr>
              <w:t>精</w:t>
            </w:r>
            <w:r>
              <w:rPr>
                <w:rFonts w:hint="eastAsia" w:ascii="宋体" w:hAnsi="宋体"/>
                <w:b/>
                <w:color w:val="000000" w:themeColor="text1"/>
                <w:sz w:val="20"/>
                <w:szCs w:val="20"/>
                <w:u w:val="single"/>
              </w:rPr>
              <w:t>加工过程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焊接</w:t>
            </w:r>
            <w:r>
              <w:rPr>
                <w:rFonts w:hint="eastAsia" w:ascii="宋体" w:hAnsi="宋体"/>
                <w:b/>
                <w:color w:val="000000" w:themeColor="text1"/>
                <w:sz w:val="20"/>
                <w:szCs w:val="20"/>
                <w:u w:val="single"/>
                <w:lang w:val="en-US" w:eastAsia="zh-CN"/>
              </w:rPr>
              <w:t>过程</w:t>
            </w:r>
          </w:p>
          <w:p>
            <w:pPr>
              <w:tabs>
                <w:tab w:val="left" w:pos="540"/>
              </w:tabs>
              <w:spacing w:line="300" w:lineRule="exact"/>
              <w:ind w:left="210" w:hanging="240" w:hangingChars="100"/>
              <w:rPr>
                <w:rFonts w:ascii="宋体" w:hAnsi="宋体"/>
                <w:b/>
                <w:color w:val="000000" w:themeColor="text1"/>
                <w:sz w:val="20"/>
                <w:szCs w:val="20"/>
              </w:rPr>
            </w:pPr>
            <w: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按顾客提供的图纸石油采油设备及行业标准进行产品加工，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辨识较充分、重要环境因素评价基本合理，</w:t>
            </w:r>
            <w:r>
              <w:rPr>
                <w:rFonts w:hint="eastAsia" w:ascii="宋体" w:hAnsi="宋体"/>
                <w:b/>
                <w:color w:val="000000" w:themeColor="text1"/>
                <w:spacing w:val="-8"/>
                <w:sz w:val="20"/>
                <w:szCs w:val="20"/>
              </w:rPr>
              <w:t>以及对环境因素动态变更的及时性进行调整。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FFFFFF" w:themeColor="background1"/>
                <w:sz w:val="20"/>
                <w:szCs w:val="20"/>
              </w:rPr>
            </w:pPr>
            <w:r>
              <w:rPr>
                <w:rFonts w:hint="eastAsia"/>
                <w:b/>
                <w:color w:val="FFFFFF" w:themeColor="background1"/>
                <w:sz w:val="20"/>
                <w:szCs w:val="20"/>
              </w:rPr>
              <w:t>根据组织经营性质，识别了各部门和场所的危险源，并对危险源进行了评价，评价出不可接受风险（火灾、交通伤害），识别基本次本齐全。。，评价合理。基本了解评价动态变更的及时性。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pacing w:val="-4"/>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    ■网络    ■公示   ■其他</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法律法规要求及时得到更新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可测量的目标，目标、方案的有效性，对E目标的实现情况进行评价并叙述测量方法）</w:t>
            </w:r>
            <w:r>
              <w:rPr>
                <w:rFonts w:hint="eastAsia" w:ascii="宋体" w:hAnsi="宋体"/>
                <w:b/>
                <w:color w:val="000000" w:themeColor="text1"/>
                <w:sz w:val="18"/>
                <w:szCs w:val="18"/>
              </w:rPr>
              <w:t>在公司各职能和层次上建立了E目标，并制定了相应考核办法。基本适宜公司特点。目标具有可测量性，对目标完成情况进行了考核。对制订的管理方案实施情况定期进行检查，但未提供</w:t>
            </w:r>
            <w:r>
              <w:rPr>
                <w:rFonts w:hint="eastAsia" w:ascii="宋体" w:hAnsi="宋体"/>
                <w:b/>
                <w:color w:val="000000" w:themeColor="text1"/>
                <w:sz w:val="18"/>
                <w:szCs w:val="18"/>
                <w:lang w:val="en-US" w:eastAsia="zh-CN"/>
              </w:rPr>
              <w:t>目标</w:t>
            </w:r>
            <w:r>
              <w:rPr>
                <w:rFonts w:hint="eastAsia" w:ascii="宋体" w:hAnsi="宋体"/>
                <w:b/>
                <w:color w:val="000000" w:themeColor="text1"/>
                <w:sz w:val="18"/>
                <w:szCs w:val="18"/>
              </w:rPr>
              <w:t>检查证据</w:t>
            </w:r>
            <w:r>
              <w:rPr>
                <w:rFonts w:hint="eastAsia" w:ascii="宋体" w:hAnsi="宋体"/>
                <w:b/>
                <w:color w:val="000000" w:themeColor="text1"/>
                <w:sz w:val="18"/>
                <w:szCs w:val="18"/>
                <w:lang w:eastAsia="zh-CN"/>
              </w:rPr>
              <w:t>，</w:t>
            </w:r>
            <w:r>
              <w:rPr>
                <w:rFonts w:hint="eastAsia" w:ascii="宋体" w:hAnsi="宋体"/>
                <w:b/>
                <w:color w:val="000000" w:themeColor="text1"/>
                <w:sz w:val="18"/>
                <w:szCs w:val="18"/>
                <w:lang w:val="en-US" w:eastAsia="zh-CN"/>
              </w:rPr>
              <w:t>已</w:t>
            </w:r>
            <w:r>
              <w:rPr>
                <w:rFonts w:hint="eastAsia" w:ascii="宋体" w:hAnsi="宋体"/>
                <w:b/>
                <w:color w:val="000000" w:themeColor="text1"/>
                <w:sz w:val="18"/>
                <w:szCs w:val="18"/>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b/>
                <w:color w:val="000000" w:themeColor="text1"/>
                <w:sz w:val="20"/>
                <w:szCs w:val="20"/>
              </w:rPr>
              <w:t>公司按照制定的文件和记录控制相关程序，对管理体系有关的文件、记录等成文信息进行有效控制，在使用处均有文件的有效版本。公司文件为手册、程序文件、作业文件、记录四层。</w:t>
            </w:r>
          </w:p>
          <w:p>
            <w:pPr>
              <w:tabs>
                <w:tab w:val="left" w:pos="540"/>
              </w:tabs>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该公司员工24人，管理人员8人，人力资源基本满足体系运行的要求。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02" w:firstLineChars="200"/>
              <w:rPr>
                <w:rFonts w:ascii="宋体" w:hAnsi="宋体"/>
                <w:b/>
                <w:color w:val="000000" w:themeColor="text1"/>
                <w:sz w:val="20"/>
                <w:szCs w:val="20"/>
              </w:rPr>
            </w:pPr>
            <w:r>
              <w:rPr>
                <w:rFonts w:hint="eastAsia" w:ascii="宋体" w:hAnsi="宋体"/>
                <w:b/>
                <w:color w:val="FFFFFF" w:themeColor="background1"/>
                <w:sz w:val="20"/>
                <w:szCs w:val="20"/>
              </w:rPr>
              <w:t>设备主要是生产设备数控机床、剪板机、切割机、电焊机.及办公设备，如电脑、打印机、复印机等。可以满足产品加工</w:t>
            </w:r>
            <w:r>
              <w:rPr>
                <w:rFonts w:hint="eastAsia" w:ascii="宋体" w:hAnsi="宋体"/>
                <w:b/>
                <w:color w:val="FFFFFF" w:themeColor="background1"/>
                <w:sz w:val="20"/>
                <w:szCs w:val="20"/>
                <w:lang w:val="en-US" w:eastAsia="zh-CN"/>
              </w:rPr>
              <w:t>及销售</w:t>
            </w:r>
            <w:r>
              <w:rPr>
                <w:rFonts w:hint="eastAsia" w:ascii="宋体" w:hAnsi="宋体"/>
                <w:b/>
                <w:color w:val="FFFFFF" w:themeColor="background1"/>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运行环境无特殊要求，公司生产及办公环境干净整洁，基本满足要求。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FFFFFF" w:themeColor="background1"/>
                <w:sz w:val="20"/>
                <w:szCs w:val="20"/>
              </w:rPr>
              <w:t>监视测量设备，包括：</w:t>
            </w:r>
            <w:r>
              <w:rPr>
                <w:rFonts w:hint="eastAsia" w:asciiTheme="minorEastAsia" w:hAnsiTheme="minorEastAsia" w:eastAsiaTheme="minorEastAsia"/>
                <w:b/>
                <w:color w:val="FFFFFF" w:themeColor="background1"/>
                <w:sz w:val="18"/>
                <w:szCs w:val="18"/>
              </w:rPr>
              <w:t>洛氏硬度计、盒尺、角度尺、卡尺（0-150/0-300）、内径百分表、外径千分尺、磁粉探伤仪、万能角度尺、塞尺、摆锤式冲击试验机、拉力试验机、经过检定或校准。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FFFFFF" w:themeColor="background1"/>
                <w:sz w:val="20"/>
                <w:szCs w:val="20"/>
              </w:rPr>
              <w:t>公司确定运行过程所需的知识，内部来源包括公司运作准则（管理制度、工作记录等）、专业技术应用、销售服务过程管理等。外部来源包括外来资料、法律法规、图纸、市场信息等。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吸尘装置、口罩、防护服。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p>
          <w:p>
            <w:pPr>
              <w:spacing w:line="240" w:lineRule="exact"/>
              <w:ind w:firstLine="402" w:firstLineChars="200"/>
              <w:rPr>
                <w:rFonts w:ascii="宋体" w:hAnsi="宋体"/>
                <w:b/>
                <w:color w:val="000000" w:themeColor="text1"/>
                <w:sz w:val="20"/>
                <w:szCs w:val="20"/>
              </w:rPr>
            </w:pPr>
            <w:r>
              <w:rPr>
                <w:rFonts w:hint="eastAsia" w:ascii="宋体" w:hAnsi="宋体"/>
                <w:b/>
                <w:color w:val="FFFFFF" w:themeColor="background1"/>
                <w:sz w:val="20"/>
                <w:szCs w:val="20"/>
              </w:rPr>
              <w:t>消防设备设施提供有灭火器，基本满足要求。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tabs>
                <w:tab w:val="left" w:pos="2535"/>
              </w:tabs>
              <w:spacing w:line="320" w:lineRule="exact"/>
              <w:rPr>
                <w:b/>
                <w:bCs w:val="0"/>
                <w:color w:val="000000" w:themeColor="text1"/>
                <w:sz w:val="21"/>
                <w:szCs w:val="21"/>
              </w:rPr>
            </w:pPr>
            <w:r>
              <w:rPr>
                <w:b/>
                <w:color w:val="000000" w:themeColor="text1"/>
                <w:sz w:val="20"/>
                <w:szCs w:val="20"/>
              </w:rPr>
              <w:t xml:space="preserve">1. </w:t>
            </w:r>
            <w:r>
              <w:rPr>
                <w:b/>
                <w:bCs w:val="0"/>
                <w:color w:val="000000" w:themeColor="text1"/>
                <w:sz w:val="21"/>
                <w:szCs w:val="21"/>
              </w:rPr>
              <w:t xml:space="preserve"> </w:t>
            </w:r>
            <w:r>
              <w:rPr>
                <w:rFonts w:hint="eastAsia"/>
                <w:b/>
                <w:bCs w:val="0"/>
                <w:color w:val="000000" w:themeColor="text1"/>
                <w:sz w:val="21"/>
                <w:szCs w:val="21"/>
              </w:rPr>
              <w:t>管理方针与企业的经营宗旨相适应，协调；</w:t>
            </w:r>
          </w:p>
          <w:p>
            <w:pPr>
              <w:spacing w:line="300" w:lineRule="exact"/>
              <w:rPr>
                <w:b/>
                <w:color w:val="000000" w:themeColor="text1"/>
                <w:sz w:val="20"/>
                <w:szCs w:val="20"/>
              </w:rPr>
            </w:pPr>
            <w:r>
              <w:rPr>
                <w:rFonts w:hint="eastAsia"/>
                <w:b/>
                <w:color w:val="000000" w:themeColor="text1"/>
                <w:sz w:val="20"/>
                <w:szCs w:val="20"/>
                <w:lang w:val="en-US" w:eastAsia="zh-CN"/>
              </w:rPr>
              <w:t>2</w:t>
            </w:r>
            <w:r>
              <w:rPr>
                <w:b/>
                <w:color w:val="000000" w:themeColor="text1"/>
                <w:sz w:val="20"/>
                <w:szCs w:val="20"/>
              </w:rPr>
              <w:t xml:space="preserve">. </w:t>
            </w:r>
            <w:r>
              <w:rPr>
                <w:rFonts w:hint="eastAsia"/>
                <w:b/>
                <w:color w:val="000000" w:themeColor="text1"/>
                <w:sz w:val="20"/>
                <w:szCs w:val="20"/>
              </w:rPr>
              <w:t>通过会议传达，沟通，让全体员工理解执行。并定期进行评审（一般一年一次）。</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w:t>
            </w:r>
            <w:r>
              <w:rPr>
                <w:rFonts w:hint="eastAsia"/>
                <w:b/>
                <w:color w:val="000000" w:themeColor="text1"/>
                <w:sz w:val="20"/>
                <w:szCs w:val="20"/>
                <w:lang w:val="en-US" w:eastAsia="zh-CN"/>
              </w:rPr>
              <w:t>4</w:t>
            </w:r>
            <w:r>
              <w:rPr>
                <w:rFonts w:hint="eastAsia"/>
                <w:b/>
                <w:color w:val="000000" w:themeColor="text1"/>
                <w:sz w:val="20"/>
                <w:szCs w:val="20"/>
              </w:rPr>
              <w:t>日管理评审，方针有效、适宜。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内部沟通的情况：部沟通的情况：内部沟通方式：会议、公告栏、发放文件、网络等</w:t>
            </w:r>
          </w:p>
          <w:p>
            <w:pPr>
              <w:spacing w:line="240" w:lineRule="exact"/>
              <w:rPr>
                <w:b/>
                <w:color w:val="000000" w:themeColor="text1"/>
                <w:sz w:val="20"/>
                <w:szCs w:val="20"/>
              </w:rPr>
            </w:pPr>
            <w:r>
              <w:rPr>
                <w:rFonts w:hint="eastAsia"/>
                <w:b/>
                <w:color w:val="000000" w:themeColor="text1"/>
                <w:sz w:val="20"/>
                <w:szCs w:val="20"/>
              </w:rPr>
              <w:t>内部沟通的效果：能够得到有效沟通</w:t>
            </w:r>
          </w:p>
          <w:p>
            <w:pPr>
              <w:spacing w:line="240" w:lineRule="exact"/>
              <w:rPr>
                <w:b/>
                <w:color w:val="000000" w:themeColor="text1"/>
                <w:sz w:val="20"/>
                <w:szCs w:val="20"/>
              </w:rPr>
            </w:pPr>
            <w:r>
              <w:rPr>
                <w:rFonts w:hint="eastAsia"/>
                <w:b/>
                <w:color w:val="000000" w:themeColor="text1"/>
                <w:sz w:val="20"/>
                <w:szCs w:val="20"/>
              </w:rPr>
              <w:t>公司对外联络，关注顾客的感受情况（</w:t>
            </w:r>
            <w:r>
              <w:rPr>
                <w:b/>
                <w:color w:val="000000" w:themeColor="text1"/>
                <w:sz w:val="20"/>
                <w:szCs w:val="20"/>
              </w:rPr>
              <w:t>QMS</w:t>
            </w:r>
            <w:r>
              <w:rPr>
                <w:rFonts w:hint="eastAsia"/>
                <w:b/>
                <w:color w:val="000000" w:themeColor="text1"/>
                <w:sz w:val="20"/>
                <w:szCs w:val="20"/>
              </w:rPr>
              <w:t>）：</w:t>
            </w:r>
            <w:r>
              <w:rPr>
                <w:rFonts w:hint="eastAsia"/>
                <w:b/>
                <w:color w:val="FFFFFF" w:themeColor="background1"/>
                <w:sz w:val="20"/>
                <w:szCs w:val="20"/>
              </w:rPr>
              <w:t>顾客满意度调查表的发放、电话回访、到顾客现场进行</w:t>
            </w:r>
            <w:r>
              <w:rPr>
                <w:rFonts w:hint="eastAsia"/>
                <w:b/>
                <w:color w:val="000000" w:themeColor="text1"/>
                <w:sz w:val="20"/>
                <w:szCs w:val="20"/>
              </w:rPr>
              <w:t>（</w:t>
            </w:r>
            <w:r>
              <w:rPr>
                <w:b/>
                <w:color w:val="000000" w:themeColor="text1"/>
                <w:sz w:val="20"/>
                <w:szCs w:val="20"/>
              </w:rPr>
              <w:t>E</w:t>
            </w:r>
            <w:r>
              <w:rPr>
                <w:rFonts w:hint="eastAsia"/>
                <w:b/>
                <w:color w:val="000000" w:themeColor="text1"/>
                <w:sz w:val="20"/>
                <w:szCs w:val="20"/>
              </w:rPr>
              <w:t>、</w:t>
            </w:r>
            <w:r>
              <w:rPr>
                <w:b/>
                <w:color w:val="000000" w:themeColor="text1"/>
                <w:sz w:val="20"/>
                <w:szCs w:val="20"/>
              </w:rPr>
              <w:t>S</w:t>
            </w:r>
            <w:r>
              <w:rPr>
                <w:rFonts w:hint="eastAsia"/>
                <w:b/>
                <w:color w:val="000000" w:themeColor="text1"/>
                <w:sz w:val="20"/>
                <w:szCs w:val="20"/>
              </w:rPr>
              <w:t>填写）：进行接收、答复，但未进行记录。</w:t>
            </w:r>
          </w:p>
          <w:p>
            <w:pPr>
              <w:spacing w:line="240" w:lineRule="exact"/>
              <w:rPr>
                <w:b/>
                <w:color w:val="000000" w:themeColor="text1"/>
                <w:sz w:val="20"/>
                <w:szCs w:val="20"/>
              </w:rPr>
            </w:pPr>
            <w:r>
              <w:rPr>
                <w:rFonts w:hint="eastAsia"/>
                <w:b/>
                <w:color w:val="000000" w:themeColor="text1"/>
                <w:sz w:val="20"/>
                <w:szCs w:val="20"/>
              </w:rPr>
              <w:t>重要环境因素信息对外交流情况（</w:t>
            </w:r>
            <w:r>
              <w:rPr>
                <w:b/>
                <w:color w:val="000000" w:themeColor="text1"/>
                <w:sz w:val="20"/>
                <w:szCs w:val="20"/>
              </w:rPr>
              <w:t>EMS</w:t>
            </w:r>
            <w:r>
              <w:rPr>
                <w:rFonts w:hint="eastAsia"/>
                <w:b/>
                <w:color w:val="000000" w:themeColor="text1"/>
                <w:sz w:val="20"/>
                <w:szCs w:val="20"/>
              </w:rPr>
              <w:t>填写）：未对相关方进行了书面告知，开具不符合报告。</w:t>
            </w:r>
          </w:p>
          <w:p>
            <w:pPr>
              <w:spacing w:line="240" w:lineRule="exact"/>
              <w:rPr>
                <w:b/>
                <w:color w:val="FFFFFF" w:themeColor="background1"/>
                <w:sz w:val="20"/>
                <w:szCs w:val="20"/>
              </w:rPr>
            </w:pPr>
            <w:r>
              <w:rPr>
                <w:b/>
                <w:color w:val="000000" w:themeColor="text1"/>
                <w:sz w:val="20"/>
                <w:szCs w:val="20"/>
              </w:rPr>
              <w:t>OHSMS</w:t>
            </w:r>
            <w:r>
              <w:rPr>
                <w:rFonts w:hint="eastAsia"/>
                <w:b/>
                <w:color w:val="000000" w:themeColor="text1"/>
                <w:sz w:val="20"/>
                <w:szCs w:val="20"/>
              </w:rPr>
              <w:t>事务代表协商和交流的情况（</w:t>
            </w:r>
            <w:r>
              <w:rPr>
                <w:b/>
                <w:color w:val="000000" w:themeColor="text1"/>
                <w:sz w:val="20"/>
                <w:szCs w:val="20"/>
              </w:rPr>
              <w:t>OHSMS</w:t>
            </w:r>
            <w:r>
              <w:rPr>
                <w:rFonts w:hint="eastAsia"/>
                <w:b/>
                <w:color w:val="000000" w:themeColor="text1"/>
                <w:sz w:val="20"/>
                <w:szCs w:val="20"/>
              </w:rPr>
              <w:t>填写）：</w:t>
            </w:r>
            <w:r>
              <w:rPr>
                <w:rFonts w:hint="eastAsia"/>
                <w:b/>
                <w:color w:val="FFFFFF" w:themeColor="background1"/>
                <w:sz w:val="20"/>
                <w:szCs w:val="20"/>
              </w:rPr>
              <w:t>参与了管理体系文件的制定，每年召开一次员工</w:t>
            </w:r>
            <w:r>
              <w:rPr>
                <w:rFonts w:hint="eastAsia"/>
                <w:b/>
                <w:color w:val="000000" w:themeColor="text1"/>
                <w:sz w:val="20"/>
                <w:szCs w:val="20"/>
              </w:rPr>
              <w:t>与相关方协商的情况（</w:t>
            </w:r>
            <w:r>
              <w:rPr>
                <w:b/>
                <w:color w:val="000000" w:themeColor="text1"/>
                <w:sz w:val="20"/>
                <w:szCs w:val="20"/>
              </w:rPr>
              <w:t>OHSMS</w:t>
            </w:r>
            <w:r>
              <w:rPr>
                <w:rFonts w:hint="eastAsia"/>
                <w:b/>
                <w:color w:val="000000" w:themeColor="text1"/>
                <w:sz w:val="20"/>
                <w:szCs w:val="20"/>
              </w:rPr>
              <w:t>填写）：</w:t>
            </w:r>
            <w:r>
              <w:rPr>
                <w:rFonts w:hint="eastAsia"/>
                <w:b/>
                <w:color w:val="FFFFFF" w:themeColor="background1"/>
                <w:sz w:val="20"/>
                <w:szCs w:val="20"/>
              </w:rPr>
              <w:t>未相关方进行了书面告知，开具不符合报告。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201"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exact"/>
              <w:ind w:left="201" w:leftChars="42" w:hanging="100" w:hangingChars="50"/>
              <w:rPr>
                <w:b/>
                <w:color w:val="000000" w:themeColor="text1"/>
                <w:sz w:val="20"/>
                <w:szCs w:val="20"/>
              </w:rPr>
            </w:pPr>
          </w:p>
          <w:p>
            <w:pPr>
              <w:spacing w:line="240" w:lineRule="exact"/>
              <w:ind w:firstLine="402" w:firstLineChars="200"/>
              <w:rPr>
                <w:b/>
                <w:color w:val="000000" w:themeColor="text1"/>
                <w:sz w:val="20"/>
                <w:szCs w:val="20"/>
              </w:rPr>
            </w:pPr>
            <w:r>
              <w:rPr>
                <w:rFonts w:hint="eastAsia"/>
                <w:b/>
                <w:color w:val="FFFFFF" w:themeColor="background1"/>
                <w:sz w:val="20"/>
                <w:szCs w:val="20"/>
              </w:rPr>
              <w:t>公司识别关键过程：</w:t>
            </w:r>
            <w:r>
              <w:rPr>
                <w:rFonts w:hint="eastAsia"/>
                <w:b/>
                <w:color w:val="FFFFFF" w:themeColor="background1"/>
                <w:sz w:val="20"/>
                <w:szCs w:val="20"/>
                <w:lang w:val="en-US" w:eastAsia="zh-CN"/>
              </w:rPr>
              <w:t>精</w:t>
            </w:r>
            <w:r>
              <w:rPr>
                <w:rFonts w:hint="eastAsia"/>
                <w:b/>
                <w:color w:val="FFFFFF" w:themeColor="background1"/>
                <w:sz w:val="20"/>
                <w:szCs w:val="20"/>
              </w:rPr>
              <w:t>加工过程。焊接过程，需要确认的过程：外包过程：热处理过程对其过程进行了重点控制，进行确认，控制有效。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rPr>
                <w:b/>
                <w:color w:val="FFFFFF" w:themeColor="background1"/>
                <w:sz w:val="20"/>
                <w:szCs w:val="20"/>
              </w:rPr>
            </w:pPr>
            <w:r>
              <w:rPr>
                <w:rFonts w:hint="eastAsia"/>
                <w:b/>
                <w:color w:val="FFFFFF" w:themeColor="background1"/>
                <w:sz w:val="20"/>
                <w:szCs w:val="20"/>
              </w:rPr>
              <w:t>能稳定向顾客提供较满意的产品。对顾客进行满意度调查，并进行了简要分析。</w:t>
            </w:r>
          </w:p>
          <w:p>
            <w:pPr>
              <w:spacing w:line="240" w:lineRule="exact"/>
              <w:rPr>
                <w:b/>
                <w:color w:val="000000" w:themeColor="text1"/>
                <w:sz w:val="20"/>
                <w:szCs w:val="20"/>
              </w:rPr>
            </w:pPr>
            <w:r>
              <w:rPr>
                <w:b/>
                <w:color w:val="FFFFFF" w:themeColor="background1"/>
                <w:sz w:val="20"/>
                <w:szCs w:val="20"/>
              </w:rPr>
              <w:t>(</w:t>
            </w:r>
            <w:r>
              <w:rPr>
                <w:rFonts w:hint="eastAsia"/>
                <w:b/>
                <w:color w:val="FFFFFF" w:themeColor="background1"/>
                <w:sz w:val="20"/>
                <w:szCs w:val="20"/>
              </w:rPr>
              <w:t>应说明相关证据</w:t>
            </w:r>
            <w:r>
              <w:rPr>
                <w:b/>
                <w:color w:val="FFFFFF" w:themeColor="background1"/>
                <w:sz w:val="20"/>
                <w:szCs w:val="20"/>
              </w:rPr>
              <w:t>)</w:t>
            </w:r>
            <w:r>
              <w:rPr>
                <w:rFonts w:hint="eastAsia"/>
                <w:b/>
                <w:color w:val="FFFFFF" w:themeColor="background1"/>
                <w:sz w:val="20"/>
                <w:szCs w:val="20"/>
              </w:rPr>
              <w:t>：提供产品出厂质检报告及第三方检测报告，附件已带回公司。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
                <w:color w:val="FFFFFF" w:themeColor="background1"/>
                <w:sz w:val="20"/>
                <w:szCs w:val="20"/>
              </w:rPr>
              <w:t>提供第三方检测报告，报告显示认证范围内产品合格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 xml:space="preserve">;  </w:t>
            </w:r>
            <w:r>
              <w:rPr>
                <w:rFonts w:hint="eastAsia"/>
                <w:b/>
                <w:color w:val="000000" w:themeColor="text1"/>
                <w:sz w:val="20"/>
                <w:szCs w:val="20"/>
              </w:rPr>
              <w:t>能对发现的不合格产品及不符合项及时进行纠正和采取纠正措施控制。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auto"/>
                <w:sz w:val="20"/>
                <w:szCs w:val="20"/>
              </w:rPr>
            </w:pPr>
            <w:r>
              <w:rPr>
                <w:b/>
                <w:color w:val="FFFFFF" w:themeColor="background1"/>
                <w:sz w:val="20"/>
                <w:szCs w:val="20"/>
              </w:rPr>
              <w:t>EM</w:t>
            </w:r>
            <w:r>
              <w:rPr>
                <w:rFonts w:hint="eastAsia"/>
                <w:b/>
                <w:color w:val="auto"/>
                <w:sz w:val="20"/>
                <w:szCs w:val="20"/>
              </w:rPr>
              <w:t>对重要环境因素控制，重大环境因素对周边环境产生的影响及控制</w:t>
            </w:r>
            <w:r>
              <w:rPr>
                <w:b/>
                <w:color w:val="auto"/>
                <w:sz w:val="20"/>
                <w:szCs w:val="20"/>
              </w:rPr>
              <w:t>;</w:t>
            </w:r>
            <w:r>
              <w:rPr>
                <w:rFonts w:hint="eastAsia"/>
                <w:b/>
                <w:color w:val="auto"/>
                <w:sz w:val="20"/>
                <w:szCs w:val="20"/>
              </w:rPr>
              <w:t>对相关方施加影响</w:t>
            </w:r>
          </w:p>
          <w:p>
            <w:pPr>
              <w:spacing w:line="240" w:lineRule="exact"/>
              <w:ind w:firstLine="402" w:firstLineChars="200"/>
              <w:rPr>
                <w:b/>
                <w:color w:val="000000" w:themeColor="text1"/>
                <w:sz w:val="20"/>
                <w:szCs w:val="20"/>
              </w:rPr>
            </w:pPr>
            <w:r>
              <w:rPr>
                <w:rFonts w:hint="eastAsia"/>
                <w:b/>
                <w:color w:val="auto"/>
                <w:sz w:val="20"/>
                <w:szCs w:val="20"/>
              </w:rPr>
              <w:t>对重要环境因素进行了识别（火灾、固体废弃</w:t>
            </w:r>
            <w:r>
              <w:rPr>
                <w:rFonts w:hint="eastAsia"/>
                <w:b/>
                <w:color w:val="auto"/>
                <w:sz w:val="20"/>
                <w:szCs w:val="20"/>
                <w:lang w:val="en-US" w:eastAsia="zh-CN"/>
              </w:rPr>
              <w:t>物、噪声、粉尘等）</w:t>
            </w:r>
            <w:r>
              <w:rPr>
                <w:rFonts w:hint="eastAsia"/>
                <w:b/>
                <w:color w:val="FFFFFF" w:themeColor="background1"/>
                <w:sz w:val="20"/>
                <w:szCs w:val="20"/>
              </w:rPr>
              <w:t>物），控制基本有效。对周边环境影响不大，可得到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 OHSMS</w:t>
            </w:r>
            <w:r>
              <w:rPr>
                <w:rFonts w:hint="eastAsia"/>
                <w:b/>
                <w:color w:val="000000" w:themeColor="text1"/>
                <w:sz w:val="20"/>
                <w:szCs w:val="20"/>
              </w:rPr>
              <w:t>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FFFFFF" w:themeColor="background1"/>
                <w:sz w:val="20"/>
                <w:szCs w:val="20"/>
              </w:rPr>
              <w:t>对不可接受危险源进行了识别（火灾），电击、机械伤害等控制基本有效。目前公司不可接受危险源对公司及周边环境影响不大，可得到有效控制。对相关方进行了必要告知。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rPr>
                <w:rFonts w:hint="default" w:eastAsia="宋体"/>
                <w:b/>
                <w:color w:val="000000" w:themeColor="text1"/>
                <w:spacing w:val="-4"/>
                <w:sz w:val="20"/>
                <w:szCs w:val="20"/>
                <w:lang w:val="en-US" w:eastAsia="zh-CN"/>
              </w:rPr>
            </w:pPr>
            <w:r>
              <w:rPr>
                <w:rFonts w:hint="eastAsia"/>
                <w:b/>
                <w:color w:val="000000" w:themeColor="text1"/>
                <w:spacing w:val="-4"/>
                <w:sz w:val="20"/>
                <w:szCs w:val="20"/>
              </w:rPr>
              <w:t>对火灾突发事件等制定了应急预案，提供了火灾“应急预案演练记录”。</w:t>
            </w:r>
            <w:r>
              <w:rPr>
                <w:rFonts w:hint="eastAsia"/>
                <w:b/>
                <w:color w:val="000000" w:themeColor="text1"/>
                <w:spacing w:val="-4"/>
                <w:sz w:val="20"/>
                <w:szCs w:val="20"/>
                <w:lang w:val="en-US" w:eastAsia="zh-CN"/>
              </w:rPr>
              <w:t>2020年4月25日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公司无特种设备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11 .</w:t>
            </w:r>
            <w:r>
              <w:rPr>
                <w:rFonts w:hint="eastAsia"/>
                <w:b/>
                <w:color w:val="000000" w:themeColor="text1"/>
                <w:sz w:val="20"/>
                <w:szCs w:val="20"/>
              </w:rPr>
              <w:t>对危险化学品生产、使用、储存、运输处置，规定的执行力度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pPr>
              <w:spacing w:line="240" w:lineRule="exact"/>
              <w:ind w:left="100" w:hanging="100" w:hangingChars="5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对质量、职业健康安全目标进行了考核，查到</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年第</w:t>
            </w:r>
            <w:r>
              <w:rPr>
                <w:b/>
                <w:color w:val="000000" w:themeColor="text1"/>
                <w:sz w:val="20"/>
                <w:szCs w:val="20"/>
              </w:rPr>
              <w:t>1-</w:t>
            </w:r>
            <w:r>
              <w:rPr>
                <w:rFonts w:hint="eastAsia"/>
                <w:b/>
                <w:color w:val="000000" w:themeColor="text1"/>
                <w:sz w:val="20"/>
                <w:szCs w:val="20"/>
                <w:lang w:val="en-US" w:eastAsia="zh-CN"/>
              </w:rPr>
              <w:t>6</w:t>
            </w:r>
            <w:r>
              <w:rPr>
                <w:rFonts w:hint="eastAsia"/>
                <w:b/>
                <w:color w:val="000000" w:themeColor="text1"/>
                <w:sz w:val="20"/>
                <w:szCs w:val="20"/>
              </w:rPr>
              <w:t>月份（公司按季度考核）公司办公室及各部门完成情况：各项质量、职业健康安全目标均已完成。目标具备可测量性。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spacing w:line="240" w:lineRule="exact"/>
              <w:rPr>
                <w:b/>
                <w:color w:val="000000" w:themeColor="text1"/>
                <w:sz w:val="20"/>
                <w:szCs w:val="20"/>
              </w:rPr>
            </w:pPr>
            <w:r>
              <w:rPr>
                <w:rFonts w:hint="eastAsia"/>
                <w:b/>
                <w:color w:val="000000" w:themeColor="text1"/>
                <w:sz w:val="20"/>
                <w:szCs w:val="20"/>
              </w:rPr>
              <w:t>能稳定向顾客提供较满意的销售服务。对顾客进行满意度调查，并进行了简要分析。找出差距及制定改进计划。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
                <w:color w:val="000000" w:themeColor="text1"/>
                <w:sz w:val="20"/>
                <w:szCs w:val="20"/>
              </w:rPr>
              <w:t>本年度内审已按计划实施，内审策划审核方案中考虑了拟审核的过程和区域的状况和重要性，内审时间</w:t>
            </w:r>
            <w:r>
              <w:rPr>
                <w:b/>
                <w:color w:val="000000" w:themeColor="text1"/>
                <w:sz w:val="20"/>
                <w:szCs w:val="20"/>
              </w:rPr>
              <w:t>20</w:t>
            </w:r>
            <w:r>
              <w:rPr>
                <w:rFonts w:hint="eastAsia"/>
                <w:b/>
                <w:color w:val="000000" w:themeColor="text1"/>
                <w:sz w:val="20"/>
                <w:szCs w:val="20"/>
                <w:lang w:val="en-US" w:eastAsia="zh-CN"/>
              </w:rPr>
              <w:t>20</w:t>
            </w:r>
            <w:r>
              <w:rPr>
                <w:b/>
                <w:color w:val="000000" w:themeColor="text1"/>
                <w:sz w:val="20"/>
                <w:szCs w:val="20"/>
              </w:rPr>
              <w:t>.07.1</w:t>
            </w:r>
            <w:r>
              <w:rPr>
                <w:rFonts w:hint="eastAsia"/>
                <w:b/>
                <w:color w:val="000000" w:themeColor="text1"/>
                <w:sz w:val="20"/>
                <w:szCs w:val="20"/>
                <w:lang w:val="en-US" w:eastAsia="zh-CN"/>
              </w:rPr>
              <w:t>6-17</w:t>
            </w:r>
            <w:r>
              <w:rPr>
                <w:rFonts w:hint="eastAsia"/>
                <w:b/>
                <w:color w:val="000000" w:themeColor="text1"/>
                <w:sz w:val="20"/>
                <w:szCs w:val="20"/>
              </w:rPr>
              <w:t>。</w:t>
            </w:r>
            <w:r>
              <w:rPr>
                <w:rFonts w:hint="eastAsia"/>
                <w:b/>
                <w:color w:val="000000" w:themeColor="text1"/>
                <w:sz w:val="20"/>
                <w:szCs w:val="20"/>
                <w:lang w:val="en-US" w:eastAsia="zh-CN"/>
              </w:rPr>
              <w:t>组长：李永福、组员：王兰春；</w:t>
            </w:r>
            <w:r>
              <w:rPr>
                <w:rFonts w:hint="eastAsia"/>
                <w:b/>
                <w:color w:val="000000" w:themeColor="text1"/>
                <w:sz w:val="20"/>
                <w:szCs w:val="20"/>
              </w:rPr>
              <w:t>开具不符合报告</w:t>
            </w:r>
            <w:r>
              <w:rPr>
                <w:b/>
                <w:color w:val="000000" w:themeColor="text1"/>
                <w:sz w:val="20"/>
                <w:szCs w:val="20"/>
              </w:rPr>
              <w:t>3</w:t>
            </w:r>
            <w:r>
              <w:rPr>
                <w:rFonts w:hint="eastAsia"/>
                <w:b/>
                <w:color w:val="000000" w:themeColor="text1"/>
                <w:sz w:val="20"/>
                <w:szCs w:val="20"/>
              </w:rPr>
              <w:t>项。纠正措施实施基本有效，内审结论：体系运行基本有效。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本年度管理评审已按计划实施，管理评审时间：</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w:t>
            </w:r>
            <w:r>
              <w:rPr>
                <w:rFonts w:hint="eastAsia"/>
                <w:b/>
                <w:color w:val="000000" w:themeColor="text1"/>
                <w:sz w:val="20"/>
                <w:szCs w:val="20"/>
                <w:lang w:val="en-US" w:eastAsia="zh-CN"/>
              </w:rPr>
              <w:t>4</w:t>
            </w:r>
            <w:r>
              <w:rPr>
                <w:rFonts w:hint="eastAsia"/>
                <w:b/>
                <w:color w:val="000000" w:themeColor="text1"/>
                <w:sz w:val="20"/>
                <w:szCs w:val="20"/>
              </w:rPr>
              <w:t>日，总经理</w:t>
            </w:r>
            <w:r>
              <w:rPr>
                <w:rFonts w:hint="eastAsia"/>
                <w:b/>
                <w:color w:val="000000" w:themeColor="text1"/>
                <w:sz w:val="20"/>
                <w:szCs w:val="20"/>
                <w:lang w:val="en-US" w:eastAsia="zh-CN"/>
              </w:rPr>
              <w:t>钱鑫</w:t>
            </w:r>
            <w:r>
              <w:rPr>
                <w:rFonts w:hint="eastAsia"/>
                <w:b/>
                <w:color w:val="000000" w:themeColor="text1"/>
                <w:sz w:val="20"/>
                <w:szCs w:val="20"/>
              </w:rPr>
              <w:t>主持，管理评审考虑了体系变更需求，评审了方针有效、适宜和充分。制定了改进措施，体系运行基本有效。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240" w:lineRule="exact"/>
              <w:rPr>
                <w:b/>
                <w:color w:val="FFFFFF" w:themeColor="background1"/>
                <w:sz w:val="20"/>
                <w:szCs w:val="20"/>
              </w:rPr>
            </w:pPr>
            <w:r>
              <w:rPr>
                <w:rFonts w:hint="eastAsia"/>
                <w:b/>
                <w:color w:val="FFFFFF" w:themeColor="background1"/>
                <w:sz w:val="20"/>
                <w:szCs w:val="20"/>
              </w:rPr>
              <w:t>该物是火灾、固体废弃物，公司定期对防止火灾的灭火器和消防栓等设施协同物业检查有效性及废纸、墨盒等固符合符合废运行实施检查，结果基本满足相关要求。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rPr>
                <w:b/>
                <w:color w:val="000000" w:themeColor="text1"/>
                <w:sz w:val="20"/>
                <w:szCs w:val="20"/>
              </w:rPr>
            </w:pP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lang w:val="en-US" w:eastAsia="zh-CN"/>
              </w:rPr>
              <w:t>上一年度</w:t>
            </w:r>
            <w:r>
              <w:rPr>
                <w:rFonts w:hint="eastAsia"/>
                <w:b/>
                <w:color w:val="000000" w:themeColor="text1"/>
                <w:sz w:val="20"/>
                <w:szCs w:val="20"/>
              </w:rPr>
              <w:t>提出问题的整改情况</w:t>
            </w:r>
            <w:r>
              <w:rPr>
                <w:b/>
                <w:color w:val="000000" w:themeColor="text1"/>
                <w:sz w:val="20"/>
                <w:szCs w:val="20"/>
              </w:rPr>
              <w:t>?</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rPr>
              <w:t>提出问题</w:t>
            </w:r>
            <w:r>
              <w:rPr>
                <w:rFonts w:hint="eastAsia"/>
                <w:b/>
                <w:color w:val="000000" w:themeColor="text1"/>
                <w:spacing w:val="-20"/>
                <w:sz w:val="20"/>
                <w:szCs w:val="20"/>
                <w:lang w:val="en-US" w:eastAsia="zh-CN"/>
              </w:rPr>
              <w:t>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 w:val="18"/>
                <w:szCs w:val="18"/>
              </w:rPr>
              <w:t>上次不符合的整改情况（再认证填写）</w:t>
            </w:r>
          </w:p>
        </w:tc>
      </w:tr>
    </w:tbl>
    <w:p>
      <w:pPr>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numPr>
          <w:ilvl w:val="0"/>
          <w:numId w:val="1"/>
        </w:numPr>
        <w:tabs>
          <w:tab w:val="left" w:pos="645"/>
        </w:tabs>
        <w:spacing w:before="163" w:beforeLines="50" w:after="163" w:afterLines="50" w:line="360" w:lineRule="exact"/>
        <w:ind w:left="0" w:leftChars="0" w:firstLine="0" w:firstLineChars="0"/>
        <w:rPr>
          <w:rFonts w:hint="eastAsia"/>
          <w:b/>
          <w:sz w:val="26"/>
          <w:szCs w:val="26"/>
        </w:rPr>
      </w:pPr>
      <w:r>
        <w:rPr>
          <w:rFonts w:hint="eastAsia"/>
          <w:b/>
          <w:sz w:val="26"/>
          <w:szCs w:val="26"/>
        </w:rPr>
        <w:t>本次审核不符合项</w:t>
      </w:r>
    </w:p>
    <w:p>
      <w:pPr>
        <w:numPr>
          <w:ilvl w:val="0"/>
          <w:numId w:val="1"/>
        </w:numPr>
        <w:tabs>
          <w:tab w:val="left" w:pos="645"/>
        </w:tabs>
        <w:spacing w:before="163" w:beforeLines="50" w:after="163" w:afterLines="50" w:line="360" w:lineRule="exact"/>
        <w:ind w:left="0" w:leftChars="0" w:firstLine="0" w:firstLineChars="0"/>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4"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w:t>
      </w:r>
      <w:r>
        <w:rPr>
          <w:rFonts w:hint="eastAsia" w:ascii="宋体" w:hAnsi="宋体"/>
          <w:b/>
          <w:szCs w:val="21"/>
          <w:lang w:val="en-US" w:eastAsia="zh-CN"/>
        </w:rPr>
        <w:t xml:space="preserve"> 8.1</w:t>
      </w:r>
      <w:r>
        <w:rPr>
          <w:rFonts w:ascii="宋体" w:hAnsi="宋体"/>
          <w:b/>
          <w:szCs w:val="21"/>
        </w:rPr>
        <w:t>/S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r>
              <w:rPr>
                <w:rFonts w:hint="eastAsia"/>
                <w:b/>
                <w:color w:val="000000" w:themeColor="text1"/>
                <w:sz w:val="20"/>
                <w:szCs w:val="20"/>
              </w:rPr>
              <w:t>该公司建立并实施的环境管理体系基本符合标准要求，对可能存在的重要风险基本可以得到有效控制，服务质量稳定，没有出现过</w:t>
            </w:r>
            <w:r>
              <w:rPr>
                <w:rFonts w:hint="eastAsia"/>
                <w:b/>
                <w:color w:val="000000" w:themeColor="text1"/>
                <w:sz w:val="20"/>
                <w:szCs w:val="20"/>
                <w:lang w:val="en-US" w:eastAsia="zh-CN"/>
              </w:rPr>
              <w:t>环境</w:t>
            </w:r>
            <w:r>
              <w:rPr>
                <w:rFonts w:hint="eastAsia"/>
                <w:b/>
                <w:color w:val="000000" w:themeColor="text1"/>
                <w:sz w:val="20"/>
                <w:szCs w:val="20"/>
              </w:rPr>
              <w:t>事故以及顾客投诉等事件，该公司初步建立了自我完善和自我改进机制，管理体系运行基本有效。现场开具的</w:t>
            </w:r>
            <w:r>
              <w:rPr>
                <w:b/>
                <w:color w:val="000000" w:themeColor="text1"/>
                <w:sz w:val="20"/>
                <w:szCs w:val="20"/>
              </w:rPr>
              <w:t>1</w:t>
            </w:r>
            <w:r>
              <w:rPr>
                <w:rFonts w:hint="eastAsia"/>
                <w:b/>
                <w:color w:val="000000" w:themeColor="text1"/>
                <w:sz w:val="20"/>
                <w:szCs w:val="20"/>
              </w:rPr>
              <w:t>项一般不符合在规定的期限内采取纠正措施并经审核组书面验证有效，同意推荐该公司环境管理体系认证注册。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r>
        <w:rPr>
          <w:rFonts w:hint="eastAsia"/>
          <w:b/>
          <w:sz w:val="21"/>
          <w:lang w:val="en-US" w:eastAsia="zh-CN"/>
        </w:rPr>
        <w:t xml:space="preserve">                            </w:t>
      </w: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CA0D2"/>
    <w:multiLevelType w:val="singleLevel"/>
    <w:tmpl w:val="BA8CA0D2"/>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665DF7"/>
    <w:rsid w:val="0CEC77BE"/>
    <w:rsid w:val="11A103F1"/>
    <w:rsid w:val="16C365B1"/>
    <w:rsid w:val="1A470FDE"/>
    <w:rsid w:val="1DE923D0"/>
    <w:rsid w:val="1E332F72"/>
    <w:rsid w:val="271D6133"/>
    <w:rsid w:val="291B747C"/>
    <w:rsid w:val="32705BE1"/>
    <w:rsid w:val="339F5E04"/>
    <w:rsid w:val="349955A4"/>
    <w:rsid w:val="3CA06F50"/>
    <w:rsid w:val="4FE75B8F"/>
    <w:rsid w:val="50420BA7"/>
    <w:rsid w:val="53B003DD"/>
    <w:rsid w:val="560F6E22"/>
    <w:rsid w:val="647E4AE5"/>
    <w:rsid w:val="7CA20199"/>
    <w:rsid w:val="7D083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2020-08-24T02:39:45Z</cp:lastPrinted>
  <dcterms:modified xsi:type="dcterms:W3CDTF">2020-08-24T02:52:56Z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