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受审核部门：管理层、</w:t>
            </w:r>
            <w:r>
              <w:rPr>
                <w:rFonts w:hint="eastAsia"/>
                <w:sz w:val="24"/>
                <w:szCs w:val="24"/>
                <w:lang w:eastAsia="zh-CN"/>
              </w:rPr>
              <w:t>综合部</w:t>
            </w:r>
            <w:r>
              <w:rPr>
                <w:rFonts w:hint="eastAsia"/>
                <w:sz w:val="24"/>
                <w:szCs w:val="24"/>
              </w:rPr>
              <w:t xml:space="preserve">  主管领导/陪同人员：</w:t>
            </w:r>
            <w:r>
              <w:t>鲁立国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审核员：朱晓丽    审核时间：2020年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审核条款：4.1-7.1  7.4  7.5  8.1  8.2   9.1-10.3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r>
              <w:rPr>
                <w:rFonts w:hint="eastAsia"/>
              </w:rPr>
              <w:t>企业资质</w:t>
            </w:r>
          </w:p>
          <w:p/>
          <w:p>
            <w:r>
              <w:t>组织环境</w:t>
            </w:r>
          </w:p>
          <w:p>
            <w:r>
              <w:rPr>
                <w:rFonts w:hint="eastAsia"/>
              </w:rPr>
              <w:t>相关方</w:t>
            </w:r>
          </w:p>
          <w:p>
            <w:r>
              <w:rPr>
                <w:rFonts w:hint="eastAsia"/>
              </w:rPr>
              <w:t>风险机遇</w:t>
            </w:r>
          </w:p>
          <w:p/>
          <w:p/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管理过程、范围、职责权限、管理承诺</w:t>
            </w:r>
          </w:p>
          <w:p>
            <w:r>
              <w:rPr>
                <w:rFonts w:hint="eastAsia"/>
              </w:rPr>
              <w:t>文件、沟通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r>
              <w:t>环境方针</w:t>
            </w:r>
          </w:p>
          <w:p>
            <w:r>
              <w:rPr>
                <w:rFonts w:hint="eastAsia"/>
              </w:rPr>
              <w:t>目标</w:t>
            </w:r>
          </w:p>
          <w:p/>
          <w:p/>
          <w:p/>
          <w:p/>
          <w:p/>
          <w:p/>
          <w:p/>
          <w:p/>
          <w:p>
            <w:pPr>
              <w:rPr>
                <w:rFonts w:hint="eastAsia"/>
              </w:rPr>
            </w:pPr>
          </w:p>
          <w:p/>
          <w:p/>
          <w:p/>
          <w:p/>
          <w:p/>
          <w:p/>
          <w:p/>
          <w:p/>
          <w:p/>
          <w:p/>
          <w:p/>
          <w:p/>
          <w:p>
            <w:r>
              <w:t>资源</w:t>
            </w:r>
          </w:p>
          <w:p/>
          <w:p/>
          <w:p/>
          <w:p>
            <w:r>
              <w:t>运行策划和控制</w:t>
            </w:r>
          </w:p>
          <w:p>
            <w:r>
              <w:rPr>
                <w:rFonts w:hint="eastAsia"/>
              </w:rPr>
              <w:t>应急响应</w:t>
            </w:r>
          </w:p>
          <w:p>
            <w:r>
              <w:rPr>
                <w:rFonts w:hint="eastAsia"/>
              </w:rPr>
              <w:t>监视测量</w:t>
            </w:r>
          </w:p>
          <w:p/>
          <w:p/>
          <w:p/>
          <w:p/>
          <w:p/>
          <w:p/>
          <w:p/>
          <w:p>
            <w:r>
              <w:rPr>
                <w:rFonts w:hint="eastAsia"/>
                <w:szCs w:val="21"/>
              </w:rPr>
              <w:t>合规义务/合规性评价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内审</w:t>
            </w:r>
          </w:p>
          <w:p>
            <w:r>
              <w:rPr>
                <w:rFonts w:hint="eastAsia"/>
              </w:rPr>
              <w:t>管理评审</w:t>
            </w:r>
          </w:p>
          <w:p/>
          <w:p/>
          <w:p/>
          <w:p/>
          <w:p>
            <w:r>
              <w:rPr>
                <w:rFonts w:hint="eastAsia"/>
              </w:rPr>
              <w:t>不符合及纠正措施</w:t>
            </w:r>
          </w:p>
          <w:p>
            <w:r>
              <w:t>改进总则/</w:t>
            </w:r>
          </w:p>
          <w:p>
            <w:r>
              <w:t>持续改进</w:t>
            </w:r>
          </w:p>
        </w:tc>
        <w:tc>
          <w:tcPr>
            <w:tcW w:w="960" w:type="dxa"/>
          </w:tcPr>
          <w:p/>
          <w:p/>
          <w:p>
            <w:r>
              <w:rPr>
                <w:rFonts w:hint="eastAsia"/>
              </w:rPr>
              <w:t>4.1</w:t>
            </w:r>
          </w:p>
          <w:p>
            <w:r>
              <w:rPr>
                <w:rFonts w:hint="eastAsia"/>
              </w:rPr>
              <w:t>4.2</w:t>
            </w:r>
          </w:p>
          <w:p>
            <w:r>
              <w:rPr>
                <w:rFonts w:hint="eastAsia"/>
              </w:rPr>
              <w:t>6.1</w:t>
            </w:r>
          </w:p>
          <w:p/>
          <w:p/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4.3</w:t>
            </w:r>
          </w:p>
          <w:p>
            <w:r>
              <w:rPr>
                <w:rFonts w:hint="eastAsia"/>
              </w:rPr>
              <w:t>4.4</w:t>
            </w:r>
          </w:p>
          <w:p>
            <w:r>
              <w:rPr>
                <w:rFonts w:hint="eastAsia"/>
              </w:rPr>
              <w:t>5.1</w:t>
            </w:r>
          </w:p>
          <w:p>
            <w:r>
              <w:rPr>
                <w:rFonts w:hint="eastAsia"/>
              </w:rPr>
              <w:t>5.3</w:t>
            </w:r>
          </w:p>
          <w:p>
            <w:r>
              <w:rPr>
                <w:rFonts w:hint="eastAsia"/>
              </w:rPr>
              <w:t>7.4</w:t>
            </w:r>
          </w:p>
          <w:p>
            <w:r>
              <w:rPr>
                <w:rFonts w:hint="eastAsia"/>
              </w:rPr>
              <w:t>7.5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>5.2</w:t>
            </w:r>
          </w:p>
          <w:p>
            <w:r>
              <w:rPr>
                <w:rFonts w:hint="eastAsia"/>
              </w:rPr>
              <w:t>6.2</w:t>
            </w:r>
          </w:p>
          <w:p/>
          <w:p/>
          <w:p/>
          <w:p/>
          <w:p/>
          <w:p/>
          <w:p/>
          <w:p/>
          <w:p>
            <w:pPr>
              <w:rPr>
                <w:rFonts w:hint="eastAsia"/>
              </w:rPr>
            </w:pPr>
          </w:p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.1</w:t>
            </w:r>
          </w:p>
          <w:p/>
          <w:p/>
          <w:p/>
          <w:p>
            <w:r>
              <w:rPr>
                <w:rFonts w:hint="eastAsia"/>
              </w:rPr>
              <w:t>8.1</w:t>
            </w:r>
          </w:p>
          <w:p>
            <w:r>
              <w:rPr>
                <w:rFonts w:hint="eastAsia"/>
              </w:rPr>
              <w:t>8.2</w:t>
            </w:r>
          </w:p>
          <w:p>
            <w:r>
              <w:rPr>
                <w:rFonts w:hint="eastAsia"/>
              </w:rPr>
              <w:t>9.1</w:t>
            </w:r>
          </w:p>
          <w:p/>
          <w:p/>
          <w:p/>
          <w:p/>
          <w:p/>
          <w:p/>
          <w:p/>
          <w:p>
            <w:pPr>
              <w:rPr>
                <w:szCs w:val="21"/>
              </w:rPr>
            </w:pPr>
            <w:r>
              <w:rPr>
                <w:szCs w:val="21"/>
              </w:rPr>
              <w:t>E:6.1.3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E:9.1.2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9.2</w:t>
            </w:r>
          </w:p>
          <w:p>
            <w:r>
              <w:rPr>
                <w:rFonts w:hint="eastAsia"/>
              </w:rPr>
              <w:t>9.3</w:t>
            </w:r>
          </w:p>
          <w:p/>
          <w:p/>
          <w:p/>
          <w:p>
            <w:r>
              <w:rPr>
                <w:rFonts w:hint="eastAsia"/>
              </w:rPr>
              <w:t>10.1</w:t>
            </w:r>
          </w:p>
          <w:p>
            <w:r>
              <w:rPr>
                <w:rFonts w:hint="eastAsia"/>
              </w:rPr>
              <w:t>10.2</w:t>
            </w:r>
          </w:p>
          <w:p>
            <w:r>
              <w:rPr>
                <w:rFonts w:hint="eastAsia"/>
              </w:rPr>
              <w:t>10.3</w:t>
            </w:r>
          </w:p>
        </w:tc>
        <w:tc>
          <w:tcPr>
            <w:tcW w:w="100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总经理：</w:t>
            </w:r>
            <w:r>
              <w:t xml:space="preserve">刘洪彬 </w:t>
            </w:r>
            <w:r>
              <w:rPr>
                <w:rFonts w:hint="eastAsia"/>
              </w:rPr>
              <w:t xml:space="preserve"> 管代：</w:t>
            </w:r>
            <w:r>
              <w:t>王晓明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lang w:val="en-US" w:eastAsia="zh-CN"/>
              </w:rPr>
              <w:t>注册地址：</w:t>
            </w:r>
            <w:bookmarkStart w:id="0" w:name="注册地址"/>
            <w:r>
              <w:t>北京市朝阳区大屯路科学园南里风林绿洲I甲、I乙号楼5层I甲、I乙-25内I乙502-1室</w:t>
            </w:r>
            <w:bookmarkEnd w:id="0"/>
            <w:r>
              <w:rPr>
                <w:rFonts w:hint="eastAsia"/>
                <w:lang w:val="en-US" w:eastAsia="zh-CN"/>
              </w:rPr>
              <w:t>经营地址：</w:t>
            </w:r>
            <w:bookmarkStart w:id="1" w:name="生产地址"/>
            <w:r>
              <w:t>北京市朝阳区高碑店二区13-8号</w:t>
            </w:r>
            <w:bookmarkEnd w:id="1"/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范围：</w:t>
            </w:r>
            <w:r>
              <w:rPr>
                <w:rFonts w:hint="eastAsia" w:ascii="宋体" w:hAnsi="宋体"/>
                <w:szCs w:val="21"/>
              </w:rPr>
              <w:t>电子产品、机械设备、服装鞋帽、警用器材、道路交通安全器材、安全技术防范器材、刑事技术侦察器材、反恐防爆安检器材的销售（有许可要求除外） ；警用器材（安检门、X光机、执法记录仪、采集工作站、酒精检测仪、骑行服、作训服、作训鞋、防弹衣、防弹防刺服、防暴服、排爆服、防暴头盔、防暴盾牌、防弹盾牌、无人机及管制装备）的技术开发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提供了营业执照，资质文件有效。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与企业负责人沟通：企业20</w:t>
            </w:r>
            <w:r>
              <w:rPr>
                <w:rFonts w:hint="eastAsia"/>
                <w:lang w:val="en-US" w:eastAsia="zh-CN"/>
              </w:rPr>
              <w:t>08</w:t>
            </w:r>
            <w:r>
              <w:rPr>
                <w:rFonts w:hint="eastAsia"/>
              </w:rPr>
              <w:t>年成立，为个人独资企业，销售模式为投标、客户介绍、网络宣传等。目前行业竞争激烈，利润空间较小。企业销售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技术</w:t>
            </w:r>
            <w:r>
              <w:rPr>
                <w:rFonts w:hint="eastAsia"/>
              </w:rPr>
              <w:t>服务，基本无环境污染。主要环境因素为固废排放、火灾。设置有垃圾存放点，配备有灭火器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lang w:val="en-US" w:eastAsia="zh-CN"/>
              </w:rPr>
              <w:t>因疫情影响，按当地政府部门要求进行疫情防护。</w:t>
            </w:r>
          </w:p>
          <w:p>
            <w:r>
              <w:rPr>
                <w:rFonts w:hint="eastAsia"/>
              </w:rPr>
              <w:t>公司应确定那些对实现良好环境管理体系有影响的内、外部问题。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与组织环境管理体系有关的相关方主要包括：顾客、股东、员工、银行、供应商、雇员及其他为组织工作者、法律法规及监管机关、非政府组织等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lang w:val="en-US" w:eastAsia="zh-CN"/>
              </w:rPr>
              <w:t>对相关方需求进行了识别，符合要求。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组织环境及相关方识别过程中对组织风险及机遇进行识别，</w:t>
            </w:r>
            <w:r>
              <w:rPr>
                <w:rFonts w:hint="eastAsia"/>
              </w:rPr>
              <w:t>与环境管理体系有关的风险和机遇识别基本充分，并针对潜在的风险制定了防患风险的应对措施，针对风险制定的应对措施切实有效、风险基本可控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组织按照GB/T24001-2016标准的要求，建立、实施、保持和持续改进管理体系，包括所需过程及其相互作用。 公司确定了环境管理体系所需的过程及整个组织内的运用，确定这些过程所需的输入和期望的输出，确定这些过程的顺序和相互作用，确定和应用所需的准则和方法（包括监视、测量和提高环境绩效），以确保这些过程的运行和有效控制，以实现组织的预期结果，提高环境绩效，确定并确保获得这些过程所需的资源，规定与这些过程相关的责任和权限，按照6.1的要求所确定的风险和机遇，以及应对风险和机遇的措施，评价这些过程，实施所需的变更，以确保实现这些过程的预期结果，过程方法包括按照组织的环境方针和战略方向，对各过程及其相互作用，系统地进行规定和管理，实现预期结果。公司通过采用 PDCA 循环以及基于风险的思维对过程和体系进行整体控制和管理，从而有效利用机遇并防止发生非预期结果。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公司保持形成为保证产品、过程或服务质量满足规定的或潜在的要求，把企业的组织机构、职责和权限、工作方法和程序、技术力量和业务活动、资金和资源、信息等协调统一起来所形成的文件化信息。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组织于20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月1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日实施了环境管理体系文件，并实施。包括管理手册、作业文件和记录。其中环境方针、目标指标形成文件并纳入环境管理手册中。组织建立的《</w:t>
            </w:r>
            <w:r>
              <w:rPr>
                <w:rFonts w:hint="eastAsia"/>
                <w:lang w:val="zh-CN"/>
              </w:rPr>
              <w:t>环境因素识别与评价控制程序</w:t>
            </w:r>
            <w:r>
              <w:rPr>
                <w:rFonts w:hint="eastAsia"/>
              </w:rPr>
              <w:t>》、《合规义务管理控制程序》等等，覆盖了企业的管理体系范围，体现了对管理体系主要要素及其相关作用的表述，并将法律法规和标准的要求融入到体系文件中，覆盖了企业的管理体系范围，体现了对管理体系主要要素及其相关作用的表述，并将法律法规和标准的要求融入到体系文件中。策划内容与企业实际相符。</w:t>
            </w:r>
          </w:p>
          <w:p>
            <w:r>
              <w:rPr>
                <w:rFonts w:hint="eastAsia"/>
              </w:rPr>
              <w:t>公司保持形成为保证产品、过程或服务质量满足规定的或潜在的要求，把企业的组织机构、职责和权限、工作方法和程序、技术力量和业务活动、资金和资源、信息等协调统一起来所形成的文件化信息。</w:t>
            </w:r>
          </w:p>
          <w:p>
            <w:r>
              <w:rPr>
                <w:rFonts w:hint="eastAsia"/>
              </w:rPr>
              <w:t>总经理通过如下方式（主要以会议、培训、交流、文件和记录等型式）对其建立、实施和改进环境管理体系的承诺提供证据。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策划了《成文信息控制程序》规定了文件的编制、审批、标识、复制、更改、保存等要求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《信息交流控制程序》规定了内外部信息交流、沟通方式、内容，以确保环境管理体系得到有效运行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具体二阶段审核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环境方针：守法诚信追求质量，预防污染保护环境；关爱员工健康安全，持续改进追求卓越。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目标：固体废弃物100%分类，合理处理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 xml:space="preserve">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管理方案：综合部负责于</w:t>
            </w:r>
            <w:r>
              <w:rPr>
                <w:rFonts w:hint="eastAsia"/>
                <w:lang w:eastAsia="zh-CN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 xml:space="preserve">月份制定《固体废弃物管理规定》，并报经总经理批准后实施。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公司各部门严格按照《固体废弃物管理规定》的要求，对固体废弃物进行合理分类，并放置到指定位置。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公司按相关的要求，定期将不能回收利用的废弃物交甲方进行收集处理。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综合部门、</w:t>
            </w:r>
            <w:r>
              <w:rPr>
                <w:rFonts w:hint="eastAsia"/>
                <w:lang w:val="en-US" w:eastAsia="zh-CN"/>
              </w:rPr>
              <w:t>技术</w:t>
            </w:r>
            <w:r>
              <w:rPr>
                <w:rFonts w:hint="eastAsia"/>
              </w:rPr>
              <w:t>部门及其它部门中产生的各种废弃物应督促外包方放置到指定位置，得到妥善处置，并定期进行检查。</w:t>
            </w:r>
          </w:p>
          <w:p>
            <w:r>
              <w:rPr>
                <w:rFonts w:hint="eastAsia"/>
                <w:lang w:val="en-US" w:eastAsia="zh-CN"/>
              </w:rPr>
              <w:t>2、</w:t>
            </w:r>
            <w:r>
              <w:rPr>
                <w:rFonts w:hint="eastAsia"/>
              </w:rPr>
              <w:t>目标：</w:t>
            </w:r>
            <w:r>
              <w:rPr>
                <w:rFonts w:hint="eastAsia" w:hAnsi="宋体" w:cs="宋体"/>
                <w:kern w:val="0"/>
                <w:lang w:bidi="ar"/>
              </w:rPr>
              <w:t>火灾事故发生率为零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管理方案：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公司综合部负责设备的配备、采购与管理。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综合部要求配备合理数量的灭火器并确保其有效性。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综合部每月对各部门区域的灭火器进行检查，发现损坏及时要求更换或自行更换。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综合部每季度安全工作检查时，对灭火器进行检查，发现损坏及时更换。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各部门负责及时清理办公区域内的可燃物。</w:t>
            </w:r>
          </w:p>
          <w:p>
            <w:r>
              <w:rPr>
                <w:rFonts w:hint="eastAsia"/>
              </w:rPr>
              <w:t>综合部负责监督此管理方案的落实。</w:t>
            </w:r>
          </w:p>
          <w:p>
            <w:r>
              <w:rPr>
                <w:rFonts w:hint="eastAsia"/>
              </w:rPr>
              <w:t>环境目标考虑了重要环境因素，与环境方针一致，可测量。</w:t>
            </w:r>
          </w:p>
          <w:p>
            <w:r>
              <w:rPr>
                <w:rFonts w:hint="eastAsia"/>
              </w:rPr>
              <w:t>根据环境目标指标，组织建立了环境目标及措施，内容包括方法措施、执行部门、负责人、启始日期等。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抽查在相关职能、层次、过程上建立了环境目标，目标在各职能部门落实，</w:t>
            </w:r>
            <w:r>
              <w:rPr>
                <w:rFonts w:hint="eastAsia"/>
                <w:lang w:eastAsia="zh-CN"/>
              </w:rPr>
              <w:t>综合部</w:t>
            </w:r>
            <w:r>
              <w:rPr>
                <w:rFonts w:hint="eastAsia"/>
              </w:rPr>
              <w:t>有对环境目标完成情况定期进行汇总统计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公司确定、提供为建立、实施、保持和改进环境管理体系所需的资源。查公司现有资源，包括人力资源、基础设施（含办公场所、办公设备/设施、交通和通讯设施、消防安全设施等）、信息、技术、资金等，现有员工</w:t>
            </w:r>
            <w:r>
              <w:rPr>
                <w:rFonts w:hint="eastAsia"/>
                <w:lang w:val="en-US" w:eastAsia="zh-CN"/>
              </w:rPr>
              <w:t>18</w:t>
            </w:r>
            <w:r>
              <w:rPr>
                <w:rFonts w:hint="eastAsia"/>
              </w:rPr>
              <w:t>人，经营面积</w:t>
            </w:r>
            <w:r>
              <w:rPr>
                <w:rFonts w:hint="eastAsia"/>
                <w:lang w:val="en-US" w:eastAsia="zh-CN"/>
              </w:rPr>
              <w:t>300</w:t>
            </w:r>
            <w:r>
              <w:rPr>
                <w:rFonts w:hint="eastAsia"/>
              </w:rPr>
              <w:t>平方米</w:t>
            </w:r>
            <w:r>
              <w:rPr>
                <w:rFonts w:hint="eastAsia"/>
                <w:lang w:val="en-US" w:eastAsia="zh-CN"/>
              </w:rPr>
              <w:t>左右</w:t>
            </w:r>
            <w:r>
              <w:rPr>
                <w:rFonts w:hint="eastAsia"/>
              </w:rPr>
              <w:t>。</w:t>
            </w:r>
          </w:p>
          <w:p/>
          <w:p>
            <w:r>
              <w:rPr>
                <w:rFonts w:hint="eastAsia"/>
                <w:lang w:eastAsia="zh-CN"/>
              </w:rPr>
              <w:t>综合部</w:t>
            </w:r>
            <w:r>
              <w:rPr>
                <w:rFonts w:hint="eastAsia"/>
              </w:rPr>
              <w:t>有对所属办公区域室内，销售、采购服务过程中识别的环境因素运行进行控制，主要环境污染物控制有固废控制、</w:t>
            </w:r>
            <w:r>
              <w:rPr>
                <w:rFonts w:hint="eastAsia"/>
                <w:lang w:val="en-US" w:eastAsia="zh-CN"/>
              </w:rPr>
              <w:t>火灾</w:t>
            </w:r>
            <w:r>
              <w:rPr>
                <w:rFonts w:hint="eastAsia"/>
              </w:rPr>
              <w:t>等环境因素控制措施基本有效。</w:t>
            </w:r>
            <w:r>
              <w:rPr>
                <w:rFonts w:hint="eastAsia"/>
                <w:lang w:eastAsia="zh-CN"/>
              </w:rPr>
              <w:t>2020年5月24日</w:t>
            </w:r>
            <w:r>
              <w:rPr>
                <w:rFonts w:hint="eastAsia"/>
                <w:szCs w:val="21"/>
              </w:rPr>
              <w:t>组织实施了一次火灾应急演练，演练完成后并有对演练效果进行总结评估。查见“演练记录”，有对本次演练的过程作了具体阐述，并得出相应的结论。</w:t>
            </w:r>
          </w:p>
          <w:p>
            <w:r>
              <w:rPr>
                <w:rFonts w:hint="eastAsia"/>
                <w:szCs w:val="21"/>
              </w:rPr>
              <w:t>企业有策划环境绩效监视和测量控制准则，并按策划的要求实施环境绩效的监视和测量；具体包括内审、管理评审活动，并实施，以证实管理体系的符合性、适宜性、充分性、有效性；运行控制日常监督检查，确保管理目的实现；定期收集外部相关方信息，证实环境管理体系的外部绩效；守法性评价，定期对适用的法律法规及其他要求进行评价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提供的</w:t>
            </w:r>
            <w:r>
              <w:rPr>
                <w:rFonts w:hint="eastAsia"/>
                <w:szCs w:val="21"/>
                <w:lang w:eastAsia="zh-CN"/>
              </w:rPr>
              <w:t>《法律法规和其它要求控制程序》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szCs w:val="24"/>
                <w:lang w:eastAsia="zh-CN"/>
              </w:rPr>
              <w:t>合规性评价控制程序</w:t>
            </w:r>
            <w:r>
              <w:rPr>
                <w:rFonts w:hint="eastAsia"/>
                <w:szCs w:val="21"/>
              </w:rPr>
              <w:t>》规定了对适用的法规法规的识别、获取和评价等控制要求。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综合部</w:t>
            </w:r>
            <w:r>
              <w:rPr>
                <w:rFonts w:hint="eastAsia"/>
                <w:szCs w:val="21"/>
              </w:rPr>
              <w:t>负责识别、获取和更新环境全管理体系有关的适用法律法规，并对其适用性、有效性实施确认，获取渠道包括互联网、政府有关职能部门，查见“法律法规和其他要求清单”，清单中包括环境保护法、环境影响评价法、消防法、环境噪声污染防治法、固体废物污染环境防治法、固体废弃物污染环境防治法等，适用的法律法规和其他要求识别基本充分、收集基本齐全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体系实施后，企业近期于</w:t>
            </w:r>
            <w:r>
              <w:rPr>
                <w:rFonts w:hint="eastAsia"/>
                <w:szCs w:val="21"/>
                <w:lang w:eastAsia="zh-CN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  <w:lang w:eastAsia="zh-CN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30</w:t>
            </w:r>
            <w:r>
              <w:rPr>
                <w:rFonts w:hint="eastAsia"/>
                <w:szCs w:val="21"/>
              </w:rPr>
              <w:t>实施了一次合规性评价工作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查见</w:t>
            </w:r>
            <w:r>
              <w:rPr>
                <w:rFonts w:hint="eastAsia"/>
                <w:szCs w:val="21"/>
                <w:lang w:eastAsia="zh-CN"/>
              </w:rPr>
              <w:t>“</w:t>
            </w:r>
            <w:r>
              <w:rPr>
                <w:rFonts w:hint="eastAsia"/>
                <w:szCs w:val="21"/>
              </w:rPr>
              <w:t>合规性评价记录</w:t>
            </w:r>
            <w:r>
              <w:rPr>
                <w:rFonts w:hint="eastAsia"/>
                <w:szCs w:val="21"/>
                <w:lang w:eastAsia="zh-CN"/>
              </w:rPr>
              <w:t>”</w:t>
            </w:r>
            <w:r>
              <w:rPr>
                <w:rFonts w:hint="eastAsia"/>
                <w:szCs w:val="21"/>
              </w:rPr>
              <w:t>“合规性评价报告”，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报告结论：在总经理、管理者代表主持下，综合部组织各部门管理人员进行了合规性评价工作。对照公司识别的适用的法律法规及其他要求的适用条款，结合公司实际工作情况，进行合规性评价（具体评价情况参加合规性评审报告），结果表明，公司目前能够遵循国家有关环境、健安法律法规要求，自体系运行以来，公司未发生违法健安法律法规的情况，未收到国家行政制造部门任何有关环境和健安方面的处罚，公司尚能满足国家、地方各界对环境、健安管理的要求。</w:t>
            </w:r>
          </w:p>
          <w:p/>
          <w:p>
            <w:r>
              <w:rPr>
                <w:rFonts w:hint="eastAsia"/>
                <w:szCs w:val="21"/>
              </w:rPr>
              <w:t>2020年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月10日</w:t>
            </w:r>
            <w:r>
              <w:rPr>
                <w:rFonts w:hint="eastAsia"/>
              </w:rPr>
              <w:t>实施了一次内审，有内审计划、检查表、报告；内审不符合已关闭</w:t>
            </w:r>
          </w:p>
          <w:p>
            <w:r>
              <w:rPr>
                <w:rFonts w:hint="eastAsia"/>
                <w:lang w:eastAsia="zh-CN"/>
              </w:rPr>
              <w:t>2020年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</w:rPr>
              <w:t>20日进行了管理评审，有审核计划、输入资料、评审报告。</w:t>
            </w:r>
          </w:p>
          <w:p>
            <w:r>
              <w:rPr>
                <w:rFonts w:hint="eastAsia"/>
              </w:rPr>
              <w:t>内审管理评审基本有效。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与总经理交流公司在持续改进方面主要做了哪些工作：1．提高绩效的PDCA循环和过程方法活动的建立，正逐步趋于完善，主要通过方针目标的建立，为公司明确改进方向，通过各种监测活动发现问题、查找问题， 运用过程方法包括按照组织的环境方针和战略方向，对各过程及其相互作用，系统地进行管理，从而实现预期结果运用分析与评价，寻找变化趋势，以发现潜在问题，获得有效的过程绩效，采取措施实现持续改进。</w:t>
            </w:r>
          </w:p>
          <w:p>
            <w:r>
              <w:rPr>
                <w:rFonts w:hint="eastAsia"/>
              </w:rPr>
              <w:t>2. 编制并实施了不合格和纠正措施管理规定，明确了采取措施予以控制和纠正和处置产生的后果信息的方法，确定并选择了纠正、预防或减少不利影响为改进机会，包括评审和分析不合格、确定不合格的原因、确定是否存在或可能发生类似的不合格、实施所需的措施和评审所采取的纠正措施的有效性。各部门环境目标是改进的主要目标，主要通过目标完成情况考核汇总，环境目标进行统计分析并形成了记录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3.通过员工质量意识的提高，将提高绩效的循环工作做的更好。公司的不合格和纠正措施大多通过平时工作监督检查来实现。通过员工质量意识的提高，防止不符合或不合格的发生。在内审中发现的1个不符合项，已采取了纠正措施，并进行了有效整改。</w:t>
            </w:r>
          </w:p>
          <w:p>
            <w:r>
              <w:rPr>
                <w:rFonts w:hint="eastAsia"/>
                <w:szCs w:val="21"/>
              </w:rPr>
              <w:t>提供的《</w:t>
            </w:r>
            <w:r>
              <w:rPr>
                <w:rFonts w:hint="eastAsia"/>
                <w:szCs w:val="21"/>
                <w:lang w:eastAsia="zh-CN"/>
              </w:rPr>
              <w:t>不符合和纠正措施程序</w:t>
            </w:r>
            <w:r>
              <w:rPr>
                <w:rFonts w:hint="eastAsia"/>
                <w:szCs w:val="21"/>
              </w:rPr>
              <w:t>》规定了体系运行中的不符合、纠正措施和预防措施控制要求。经与该部门交流：经过日常的监视和测量及检查未发生环境运行过程中的不符合、事故、事件。故没有采取纠正和预防措施的需求。</w:t>
            </w:r>
          </w:p>
        </w:tc>
        <w:tc>
          <w:tcPr>
            <w:tcW w:w="158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Y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Y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Y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Y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Y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bookmarkStart w:id="2" w:name="_GoBack"/>
            <w:bookmarkEnd w:id="2"/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Y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Y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2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3073" o:spid="_x0000_s3073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3403"/>
    <w:rsid w:val="00055FEF"/>
    <w:rsid w:val="002533A3"/>
    <w:rsid w:val="00A23403"/>
    <w:rsid w:val="00AA0AFF"/>
    <w:rsid w:val="00D974BF"/>
    <w:rsid w:val="00EC5957"/>
    <w:rsid w:val="0A910ACF"/>
    <w:rsid w:val="43444990"/>
    <w:rsid w:val="47290F59"/>
    <w:rsid w:val="5AB31371"/>
    <w:rsid w:val="7E472A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页眉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449</Words>
  <Characters>2560</Characters>
  <Lines>21</Lines>
  <Paragraphs>6</Paragraphs>
  <TotalTime>2</TotalTime>
  <ScaleCrop>false</ScaleCrop>
  <LinksUpToDate>false</LinksUpToDate>
  <CharactersWithSpaces>3003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86136</cp:lastModifiedBy>
  <dcterms:modified xsi:type="dcterms:W3CDTF">2020-10-19T08:24:15Z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