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四川乐诚新材料有限公司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12.03.00;12.05.02;16.02.04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赵勋平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12.03.00;12.05.02;16.02.04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材料准备-配料--投料-搅拌-检验--包装-入库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特殊过程：配料过程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控制措施：配料作业指导书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</w:rPr>
              <w:t>中华人民共和国合同法、中华人民共和国劳动法、中华人民共和国质量法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GB/T25181-2010预拌砂浆、GB18582-2008室内装饰装修材料内墙涂料中有害物质限量、JG/T298-2010建筑室内用腻子、GB/T9756-2018合成树脂乳液内墙涂料、JC/T438-2006水溶性聚乙烯醇建筑胶粘剂、CCCF409.1-2015建筑装饰装修用胶粘剂产品质量监督抽查实施规范、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"http://www.csres.com/detail/58341.html" \t "http://www.csres.com/_blank" </w:instrTex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  <w:t>GB/T 18178-2000</w:t>
            </w:r>
            <w: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水性涂料涂装体系选择通则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instrText xml:space="preserve"> HYPERLINK "http://www.csres.com/detail/291147.html"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HG/T 5066-2016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水性涂料用分散剂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instrText xml:space="preserve"> HYPERLINK "http://www.csres.com/detail/22867.html"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JC/T 423-1991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水溶性内墙涂料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begin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instrText xml:space="preserve"> HYPERLINK "http://www.csres.com/detail/192114.html" \t "http://www.csres.com/_blank" </w:instrTex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GB/T 12954.1-2008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highlight w:val="none"/>
              </w:rPr>
              <w:t>建筑胶粘剂试验方法 第1部分: 陶瓷砖胶粘剂试验方法</w:t>
            </w:r>
            <w:r>
              <w:rPr>
                <w:rFonts w:hint="eastAsia" w:cs="Times New Roman"/>
                <w:b w:val="0"/>
                <w:bCs/>
                <w:sz w:val="20"/>
                <w:szCs w:val="22"/>
                <w:highlight w:val="none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提供产品的检测报告，详细见附件。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b/>
          <w:sz w:val="21"/>
          <w:lang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140335</wp:posOffset>
            </wp:positionV>
            <wp:extent cx="789305" cy="250825"/>
            <wp:effectExtent l="0" t="0" r="10795" b="16510"/>
            <wp:wrapSquare wrapText="bothSides"/>
            <wp:docPr id="3" name="图片 3" descr="赵勋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赵勋平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106045</wp:posOffset>
            </wp:positionV>
            <wp:extent cx="438150" cy="309880"/>
            <wp:effectExtent l="0" t="0" r="0" b="14605"/>
            <wp:wrapSquare wrapText="bothSides"/>
            <wp:docPr id="2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林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</w:t>
      </w:r>
      <w:r>
        <w:rPr>
          <w:rFonts w:hint="eastAsia" w:ascii="Times New Roman" w:hAnsi="Times New Roman" w:cs="Times New Roman"/>
          <w:b/>
          <w:sz w:val="22"/>
          <w:szCs w:val="22"/>
        </w:rPr>
        <w:t>业人员)：</w:t>
      </w:r>
      <w:r>
        <w:rPr>
          <w:rFonts w:hint="eastAsia" w:cs="Times New Roman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     日期：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2020.12.17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        审核组长：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日期：</w:t>
      </w:r>
      <w:r>
        <w:rPr>
          <w:rFonts w:hint="eastAsia" w:ascii="Times New Roman" w:hAnsi="Times New Roman" w:cs="Times New Roman"/>
          <w:b/>
          <w:sz w:val="22"/>
          <w:szCs w:val="22"/>
          <w:lang w:val="en-US" w:eastAsia="zh-CN"/>
        </w:rPr>
        <w:t>2020.12.17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151AD9"/>
    <w:rsid w:val="06A10E86"/>
    <w:rsid w:val="08B34C1B"/>
    <w:rsid w:val="0BE06A92"/>
    <w:rsid w:val="0DC94559"/>
    <w:rsid w:val="0FC60005"/>
    <w:rsid w:val="195F47EE"/>
    <w:rsid w:val="21E22F0B"/>
    <w:rsid w:val="22C35586"/>
    <w:rsid w:val="24932EF6"/>
    <w:rsid w:val="2C60367C"/>
    <w:rsid w:val="2CD76C29"/>
    <w:rsid w:val="38D05C4E"/>
    <w:rsid w:val="3BC270C3"/>
    <w:rsid w:val="3E783F93"/>
    <w:rsid w:val="40205046"/>
    <w:rsid w:val="41E023E9"/>
    <w:rsid w:val="44BE40C9"/>
    <w:rsid w:val="55A2080E"/>
    <w:rsid w:val="5B0C4568"/>
    <w:rsid w:val="62B34494"/>
    <w:rsid w:val="6329664C"/>
    <w:rsid w:val="68E84C2B"/>
    <w:rsid w:val="6A8D0D9E"/>
    <w:rsid w:val="6BA81033"/>
    <w:rsid w:val="6DD503CA"/>
    <w:rsid w:val="79B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2020-12-17T06:04:47Z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