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0"/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1"/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2"/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bookmarkStart w:id="3" w:name="审核类型ZB"/>
            <w:r>
              <w:rPr>
                <w:rFonts w:hint="eastAsia"/>
                <w:b/>
                <w:color w:val="auto"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bookmarkStart w:id="4" w:name="组织名称"/>
            <w:r>
              <w:rPr>
                <w:rFonts w:ascii="方正仿宋简体" w:eastAsia="方正仿宋简体"/>
                <w:b/>
                <w:color w:val="auto"/>
              </w:rPr>
              <w:t>中迅商旅（北京）投资有限公司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冯富祥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综合部未能提供储存和保质期管理制度、虫害鼠害管理制度等管理制度。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 GB/T 19001:2016 idt ISO 9001:2015标准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■ GB/T 24001-2016 idt ISO 14001:2015标准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 ISO45001：2018标准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 xml:space="preserve"> 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drawing>
                <wp:inline distT="0" distB="0" distL="0" distR="0">
                  <wp:extent cx="638175" cy="2762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drawing>
                <wp:inline distT="0" distB="0" distL="0" distR="0">
                  <wp:extent cx="657225" cy="3048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审核组长：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drawing>
                <wp:inline distT="0" distB="0" distL="0" distR="0">
                  <wp:extent cx="638175" cy="2857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受审核方代表：</w:t>
            </w:r>
            <w:r>
              <w:rPr>
                <w:color w:val="auto"/>
              </w:rPr>
              <w:drawing>
                <wp:inline distT="0" distB="0" distL="114300" distR="114300">
                  <wp:extent cx="556895" cy="445770"/>
                  <wp:effectExtent l="0" t="0" r="14605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>2020.8.19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  日    期：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>2020.8.19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日    期：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>2020.8.19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</w:rPr>
              <w:t>纠正措施</w:t>
            </w:r>
            <w:r>
              <w:rPr>
                <w:rFonts w:hint="eastAsia" w:ascii="方正仿宋简体" w:eastAsia="方正仿宋简体"/>
                <w:b/>
                <w:color w:val="auto"/>
                <w:lang w:eastAsia="zh-CN"/>
              </w:rPr>
              <w:t>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审核员： 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drawing>
                <wp:inline distT="0" distB="0" distL="0" distR="0">
                  <wp:extent cx="508635" cy="220345"/>
                  <wp:effectExtent l="0" t="0" r="5715" b="825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2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drawing>
                <wp:inline distT="0" distB="0" distL="0" distR="0">
                  <wp:extent cx="562610" cy="260985"/>
                  <wp:effectExtent l="0" t="0" r="8890" b="571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260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drawing>
                <wp:inline distT="0" distB="0" distL="0" distR="0">
                  <wp:extent cx="563880" cy="252730"/>
                  <wp:effectExtent l="0" t="0" r="7620" b="1397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</w:t>
            </w:r>
          </w:p>
          <w:p>
            <w:pPr>
              <w:spacing w:before="120" w:line="360" w:lineRule="auto"/>
              <w:jc w:val="righ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日期： 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>2020.8.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综合部未能提供储存和保质期管理制度、虫害鼠害管理制度等管理制度。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lang w:val="en-US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纠正；</w:t>
            </w:r>
            <w:r>
              <w:rPr>
                <w:rFonts w:hint="eastAsia" w:ascii="宋体" w:hAnsi="宋体" w:cs="Tahoma"/>
                <w:color w:val="auto"/>
                <w:szCs w:val="22"/>
                <w:lang w:val="en-US" w:eastAsia="zh-CN"/>
              </w:rPr>
              <w:t>补充</w:t>
            </w:r>
            <w:r>
              <w:rPr>
                <w:rFonts w:hint="eastAsia" w:ascii="Tahoma" w:hAnsi="Times New Roman" w:cs="Tahoma"/>
                <w:color w:val="auto"/>
                <w:szCs w:val="22"/>
                <w:lang w:val="en-US" w:eastAsia="zh-CN"/>
              </w:rPr>
              <w:t>储存和保质期管理制度、虫害鼠害管理制度等管理制度记</w:t>
            </w:r>
            <w:r>
              <w:rPr>
                <w:rFonts w:hint="eastAsia" w:ascii="Tahoma" w:cs="Tahoma"/>
                <w:color w:val="auto"/>
                <w:szCs w:val="22"/>
                <w:lang w:val="en-US" w:eastAsia="zh-CN"/>
              </w:rPr>
              <w:t>录</w:t>
            </w:r>
            <w:r>
              <w:rPr>
                <w:rFonts w:hint="eastAsia" w:ascii="方正仿宋简体" w:eastAsia="方正仿宋简体"/>
                <w:b/>
                <w:color w:val="auto"/>
              </w:rPr>
              <w:t>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line="360" w:lineRule="exact"/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分析；综合部</w:t>
            </w:r>
            <w:r>
              <w:rPr>
                <w:rFonts w:hint="eastAsia" w:ascii="宋体" w:hAnsi="宋体" w:cs="Tahoma"/>
                <w:color w:val="auto"/>
                <w:sz w:val="24"/>
                <w:lang w:val="en-US" w:eastAsia="zh-CN"/>
              </w:rPr>
              <w:t>对标准不熟悉</w:t>
            </w:r>
            <w:r>
              <w:rPr>
                <w:rFonts w:hint="eastAsia" w:ascii="Tahoma" w:hAnsi="Times New Roman" w:cs="Tahoma"/>
                <w:color w:val="auto"/>
                <w:szCs w:val="22"/>
                <w:lang w:val="en-US" w:eastAsia="zh-CN"/>
              </w:rPr>
              <w:t>，对标准条款8.1条款 理解不够  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pacing w:line="360" w:lineRule="exact"/>
              <w:rPr>
                <w:rFonts w:hint="default" w:ascii="宋体" w:hAnsi="宋体"/>
                <w:color w:val="auto"/>
                <w:lang w:val="en-US"/>
              </w:rPr>
            </w:pPr>
            <w:r>
              <w:rPr>
                <w:rFonts w:hint="eastAsia" w:ascii="Tahoma" w:cs="Tahoma"/>
                <w:color w:val="auto"/>
                <w:lang w:val="en-US" w:eastAsia="zh-CN"/>
              </w:rPr>
              <w:t>纠正措施；对人员进行</w:t>
            </w:r>
            <w:r>
              <w:rPr>
                <w:rFonts w:hint="eastAsia" w:ascii="Tahoma" w:hAnsi="Times New Roman" w:cs="Tahoma"/>
                <w:color w:val="auto"/>
                <w:szCs w:val="22"/>
                <w:lang w:val="en-US" w:eastAsia="zh-CN"/>
              </w:rPr>
              <w:t>标准条款8.1条款</w:t>
            </w:r>
            <w:bookmarkStart w:id="5" w:name="_GoBack"/>
            <w:bookmarkEnd w:id="5"/>
            <w:r>
              <w:rPr>
                <w:rFonts w:hint="eastAsia" w:ascii="Tahoma" w:cs="Tahoma"/>
                <w:color w:val="auto"/>
                <w:szCs w:val="22"/>
                <w:lang w:val="en-US" w:eastAsia="zh-CN"/>
              </w:rPr>
              <w:t>培训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2020.8.20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措施有效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lang w:val="en-US"/>
              </w:rPr>
            </w:pPr>
            <w:r>
              <w:rPr>
                <w:rFonts w:hint="eastAsia" w:eastAsia="方正仿宋简体"/>
                <w:b/>
                <w:color w:val="auto"/>
              </w:rPr>
              <w:t>验证人：</w:t>
            </w:r>
            <w:r>
              <w:rPr>
                <w:color w:val="auto"/>
              </w:rPr>
              <w:drawing>
                <wp:inline distT="0" distB="0" distL="114300" distR="114300">
                  <wp:extent cx="414020" cy="331470"/>
                  <wp:effectExtent l="0" t="0" r="5080" b="1143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  <w:color w:val="auto"/>
              </w:rPr>
              <w:t>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2020.8.25</w:t>
            </w:r>
          </w:p>
        </w:tc>
      </w:tr>
    </w:tbl>
    <w:p>
      <w:pPr>
        <w:rPr>
          <w:rFonts w:hint="eastAsia" w:ascii="方正仿宋简体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>受审核方代表：</w:t>
      </w:r>
      <w:r>
        <w:rPr>
          <w:color w:val="auto"/>
        </w:rPr>
        <w:drawing>
          <wp:inline distT="0" distB="0" distL="114300" distR="114300">
            <wp:extent cx="434975" cy="347980"/>
            <wp:effectExtent l="0" t="0" r="3175" b="139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lum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      </w:t>
      </w:r>
      <w:r>
        <w:rPr>
          <w:rFonts w:hint="eastAsia" w:eastAsia="方正仿宋简体"/>
          <w:b/>
          <w:color w:val="auto"/>
        </w:rPr>
        <w:t>日期</w:t>
      </w:r>
      <w:r>
        <w:rPr>
          <w:rFonts w:hint="eastAsia" w:eastAsia="方正仿宋简体"/>
          <w:b/>
          <w:color w:val="auto"/>
          <w:lang w:eastAsia="zh-CN"/>
        </w:rPr>
        <w:t>；</w:t>
      </w:r>
      <w:r>
        <w:rPr>
          <w:rFonts w:hint="eastAsia" w:ascii="方正仿宋简体" w:eastAsia="方正仿宋简体"/>
          <w:b/>
          <w:color w:val="auto"/>
          <w:lang w:val="en-US" w:eastAsia="zh-CN"/>
        </w:rPr>
        <w:t>2020.8.25</w:t>
      </w:r>
    </w:p>
    <w:p>
      <w:pPr>
        <w:rPr>
          <w:rFonts w:hint="eastAsia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eastAsia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eastAsia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eastAsia" w:ascii="方正仿宋简体" w:eastAsia="方正仿宋简体"/>
          <w:b/>
          <w:color w:val="auto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保质期食品管理制度 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本单位加强对保质期内食品的管理。杜绝过期食品上柜销售，保质期食品标准如下：保质期在一年以上的（含一年，下同），保质期为45天；保质期在半年以上不足一年的，保质期为30天；保质期在90天以上不足半年的，保质期为20天；保质期在30天以上不足90天的，保质期为10天；保质期在10天以上不足30天的，保质期为2天；保质期在10天以下的，保质期为1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在营业场所的醒目位置提醒消费者注意查看食品生产日期、保质期和有效日期。设置保质期食品专区或专柜，并在醒目位置标明“保质期食品销售专区”字样。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与其他商品一起捆绑搭售的食品保质期时，必须标明“保质期食品”。捆绑搭售时，不得隐藏该食品的生产日期和保质期。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建立营业场所保质期食品定时、定人、包片的日常清查制度。定期检查库存和待销售食品，发现食品保质期时，应及时转至保质期食品专区或专柜，或统一粘贴“保质期食品”标签。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rPr>
          <w:rFonts w:ascii="方正仿宋简体" w:eastAsia="方正仿宋简体"/>
          <w:b/>
          <w:color w:val="auto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ascii="方正仿宋简体" w:eastAsia="方正仿宋简体"/>
          <w:b/>
          <w:color w:val="auto"/>
        </w:rPr>
        <w:t>中迅商旅（北京）投资有限公司</w:t>
      </w:r>
    </w:p>
    <w:p>
      <w:pPr>
        <w:rPr>
          <w:rFonts w:hint="eastAsia" w:ascii="方正仿宋简体" w:eastAsia="方正仿宋简体"/>
          <w:b/>
          <w:color w:val="auto"/>
          <w:lang w:val="en-US" w:eastAsia="zh-CN"/>
        </w:rPr>
      </w:pPr>
      <w:r>
        <w:rPr>
          <w:rFonts w:hint="eastAsia" w:ascii="方正仿宋简体" w:eastAsia="方正仿宋简体"/>
          <w:b/>
          <w:color w:val="auto"/>
          <w:lang w:val="en-US" w:eastAsia="zh-CN"/>
        </w:rPr>
        <w:t xml:space="preserve">                                                       编制：</w:t>
      </w:r>
      <w:r>
        <w:rPr>
          <w:rFonts w:hint="eastAsia" w:ascii="Arial" w:hAnsi="Arial" w:cs="Arial"/>
          <w:color w:val="auto"/>
          <w:kern w:val="0"/>
          <w:szCs w:val="21"/>
          <w:lang w:eastAsia="zh-CN"/>
        </w:rPr>
        <w:t>冯福祥</w:t>
      </w: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  <w:r>
        <w:rPr>
          <w:rFonts w:hint="eastAsia" w:ascii="方正仿宋简体" w:eastAsia="方正仿宋简体"/>
          <w:b/>
          <w:color w:val="auto"/>
          <w:lang w:val="en-US" w:eastAsia="zh-CN"/>
        </w:rPr>
        <w:t xml:space="preserve">                                                       时间：</w:t>
      </w:r>
      <w:r>
        <w:rPr>
          <w:rFonts w:ascii="方正仿宋简体" w:eastAsia="方正仿宋简体"/>
          <w:b/>
          <w:color w:val="auto"/>
          <w:sz w:val="24"/>
        </w:rPr>
        <w:t>2020.8.</w:t>
      </w:r>
      <w:r>
        <w:rPr>
          <w:rFonts w:hint="eastAsia" w:ascii="方正仿宋简体" w:eastAsia="方正仿宋简体"/>
          <w:b/>
          <w:color w:val="auto"/>
          <w:sz w:val="24"/>
          <w:lang w:val="en-US" w:eastAsia="zh-CN"/>
        </w:rPr>
        <w:t>20</w:t>
      </w:r>
      <w:r>
        <w:rPr>
          <w:rFonts w:hint="eastAsia" w:ascii="方正仿宋简体" w:eastAsia="方正仿宋简体"/>
          <w:b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/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p>
      <w:pPr>
        <w:jc w:val="center"/>
        <w:rPr>
          <w:rFonts w:hint="eastAsia" w:ascii="方正仿宋简体" w:eastAsia="方正仿宋简体"/>
          <w:b/>
          <w:color w:val="auto"/>
        </w:rPr>
      </w:pPr>
      <w:r>
        <w:rPr>
          <w:rFonts w:hint="eastAsia" w:ascii="方正仿宋简体" w:eastAsia="方正仿宋简体"/>
          <w:b/>
          <w:color w:val="auto"/>
        </w:rPr>
        <w:t>虫害鼠害管理制度</w:t>
      </w:r>
    </w:p>
    <w:p>
      <w:pPr>
        <w:rPr>
          <w:color w:val="auto"/>
        </w:rPr>
      </w:pPr>
      <w:r>
        <w:rPr>
          <w:color w:val="auto"/>
        </w:rPr>
        <w:t>1、目的</w:t>
      </w:r>
    </w:p>
    <w:p>
      <w:pPr>
        <w:ind w:firstLine="315" w:firstLineChars="150"/>
        <w:rPr>
          <w:color w:val="auto"/>
        </w:rPr>
      </w:pPr>
      <w:r>
        <w:rPr>
          <w:color w:val="auto"/>
        </w:rPr>
        <w:t>为控制老鼠、苍蝇、蚊子、蟑螂的密度，营造良好的工作和生活环境，并保证用药安全、规范，防止人、畜中毒的事故发生，特制定本规定。</w:t>
      </w:r>
    </w:p>
    <w:p>
      <w:pPr>
        <w:rPr>
          <w:color w:val="auto"/>
        </w:rPr>
      </w:pPr>
      <w:r>
        <w:rPr>
          <w:color w:val="auto"/>
        </w:rPr>
        <w:t>2、 适用范围</w:t>
      </w:r>
    </w:p>
    <w:p>
      <w:pPr>
        <w:rPr>
          <w:color w:val="auto"/>
        </w:rPr>
      </w:pPr>
      <w:r>
        <w:rPr>
          <w:color w:val="auto"/>
        </w:rPr>
        <w:t>适用于管理处日常消杀控制管理。</w:t>
      </w:r>
    </w:p>
    <w:p>
      <w:pPr>
        <w:rPr>
          <w:color w:val="auto"/>
        </w:rPr>
      </w:pPr>
      <w:r>
        <w:rPr>
          <w:color w:val="auto"/>
        </w:rPr>
        <w:t>3、 职责范围</w:t>
      </w:r>
    </w:p>
    <w:p>
      <w:pPr>
        <w:rPr>
          <w:color w:val="auto"/>
        </w:rPr>
      </w:pPr>
      <w:r>
        <w:rPr>
          <w:color w:val="auto"/>
        </w:rPr>
        <w:t>（1）、 消杀</w:t>
      </w:r>
      <w:r>
        <w:rPr>
          <w:rFonts w:hint="eastAsia"/>
          <w:color w:val="auto"/>
          <w:lang w:val="en-US" w:eastAsia="zh-CN"/>
        </w:rPr>
        <w:t>人员</w:t>
      </w:r>
      <w:r>
        <w:rPr>
          <w:color w:val="auto"/>
        </w:rPr>
        <w:t>负责日常消杀工作的执行。</w:t>
      </w:r>
    </w:p>
    <w:p>
      <w:pPr>
        <w:rPr>
          <w:color w:val="auto"/>
        </w:rPr>
      </w:pPr>
      <w:r>
        <w:rPr>
          <w:color w:val="auto"/>
        </w:rPr>
        <w:t>（2）、</w:t>
      </w:r>
      <w:r>
        <w:rPr>
          <w:rFonts w:hint="eastAsia"/>
          <w:color w:val="auto"/>
          <w:lang w:val="en-US" w:eastAsia="zh-CN"/>
        </w:rPr>
        <w:t>销售部经理</w:t>
      </w:r>
      <w:r>
        <w:rPr>
          <w:color w:val="auto"/>
        </w:rPr>
        <w:t>负责消杀工作的监督、记录及检查。</w:t>
      </w:r>
    </w:p>
    <w:p>
      <w:pPr>
        <w:rPr>
          <w:color w:val="auto"/>
        </w:rPr>
      </w:pPr>
      <w:r>
        <w:rPr>
          <w:color w:val="auto"/>
        </w:rPr>
        <w:t xml:space="preserve">（3）、 </w:t>
      </w:r>
      <w:r>
        <w:rPr>
          <w:rFonts w:hint="eastAsia"/>
          <w:color w:val="auto"/>
          <w:lang w:eastAsia="zh-CN"/>
        </w:rPr>
        <w:t>销售部</w:t>
      </w:r>
      <w:r>
        <w:rPr>
          <w:rFonts w:hint="eastAsia"/>
          <w:color w:val="auto"/>
          <w:lang w:val="en-US" w:eastAsia="zh-CN"/>
        </w:rPr>
        <w:t>经理</w:t>
      </w:r>
      <w:r>
        <w:rPr>
          <w:color w:val="auto"/>
        </w:rPr>
        <w:t>负责对消杀执行情况的监督及服务质量评价。</w:t>
      </w:r>
    </w:p>
    <w:p>
      <w:pPr>
        <w:rPr>
          <w:color w:val="auto"/>
        </w:rPr>
      </w:pPr>
      <w:r>
        <w:rPr>
          <w:color w:val="auto"/>
        </w:rPr>
        <w:t>4、工作程序</w:t>
      </w:r>
    </w:p>
    <w:p>
      <w:pPr>
        <w:rPr>
          <w:color w:val="auto"/>
        </w:rPr>
      </w:pPr>
      <w:r>
        <w:rPr>
          <w:color w:val="auto"/>
        </w:rPr>
        <w:t>（1）、消杀所用药物必须是爱卫办指定的合格药品。</w:t>
      </w:r>
    </w:p>
    <w:p>
      <w:pPr>
        <w:rPr>
          <w:color w:val="auto"/>
        </w:rPr>
      </w:pPr>
      <w:r>
        <w:rPr>
          <w:color w:val="auto"/>
        </w:rPr>
        <w:t>（2）、消杀必须严格依照消杀程序进行消杀，施药之前必须提前三天贴发通知，通知上必须注明放药地点、时间及如误食中毒后的急救措施。</w:t>
      </w:r>
    </w:p>
    <w:p>
      <w:pPr>
        <w:rPr>
          <w:color w:val="auto"/>
        </w:rPr>
      </w:pPr>
      <w:r>
        <w:rPr>
          <w:color w:val="auto"/>
        </w:rPr>
        <w:t>（3）、消杀药物必须严格按照“施药规范”放置，严禁放在人、畜易接近的地方。</w:t>
      </w:r>
    </w:p>
    <w:p>
      <w:pPr>
        <w:rPr>
          <w:color w:val="auto"/>
        </w:rPr>
      </w:pPr>
      <w:r>
        <w:rPr>
          <w:color w:val="auto"/>
        </w:rPr>
        <w:t>（4）、施药后，按照消杀实施方案规定的时间进行检查，清理施药现场。</w:t>
      </w:r>
    </w:p>
    <w:p>
      <w:pPr>
        <w:rPr>
          <w:color w:val="auto"/>
        </w:rPr>
      </w:pPr>
      <w:r>
        <w:rPr>
          <w:color w:val="auto"/>
        </w:rPr>
        <w:t>（5）、在整个消杀过程中必须派专人跟踪、检查、监督。</w:t>
      </w:r>
    </w:p>
    <w:p>
      <w:pPr>
        <w:rPr>
          <w:color w:val="auto"/>
        </w:rPr>
      </w:pPr>
      <w:r>
        <w:rPr>
          <w:color w:val="auto"/>
        </w:rPr>
        <w:t>（6）、每次消杀完成后，管理处一定要作好《消杀记录表》保证每次消杀质量合格。</w:t>
      </w:r>
    </w:p>
    <w:p>
      <w:pPr>
        <w:rPr>
          <w:color w:val="auto"/>
        </w:rPr>
      </w:pPr>
      <w:r>
        <w:rPr>
          <w:color w:val="auto"/>
        </w:rPr>
        <w:t>（7）、管理处主任每月对检查人及记录表格进行核查，保证各项工作能正常的开展。</w:t>
      </w:r>
    </w:p>
    <w:p>
      <w:pPr>
        <w:rPr>
          <w:color w:val="auto"/>
        </w:rPr>
      </w:pPr>
      <w:r>
        <w:rPr>
          <w:color w:val="auto"/>
        </w:rPr>
        <w:t>（8）、消杀区域</w:t>
      </w:r>
    </w:p>
    <w:p>
      <w:pPr>
        <w:rPr>
          <w:color w:val="auto"/>
        </w:rPr>
      </w:pPr>
      <w:r>
        <w:rPr>
          <w:color w:val="auto"/>
        </w:rPr>
        <w:t>A 各部门办公室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仓库</w:t>
      </w:r>
    </w:p>
    <w:p>
      <w:pPr>
        <w:rPr>
          <w:color w:val="auto"/>
        </w:rPr>
      </w:pPr>
      <w:r>
        <w:rPr>
          <w:color w:val="auto"/>
        </w:rPr>
        <w:t>（9）、消杀药物</w:t>
      </w:r>
    </w:p>
    <w:p>
      <w:pPr>
        <w:rPr>
          <w:color w:val="auto"/>
        </w:rPr>
      </w:pPr>
      <w:r>
        <w:rPr>
          <w:color w:val="auto"/>
        </w:rPr>
        <w:t>消杀药物一般用灭害灵、敌百虫类喷酒剂等。</w:t>
      </w:r>
    </w:p>
    <w:p>
      <w:pPr>
        <w:rPr>
          <w:color w:val="auto"/>
        </w:rPr>
      </w:pPr>
      <w:r>
        <w:rPr>
          <w:color w:val="auto"/>
        </w:rPr>
        <w:t>（10）、消杀方式</w:t>
      </w:r>
    </w:p>
    <w:p>
      <w:pPr>
        <w:rPr>
          <w:color w:val="auto"/>
        </w:rPr>
      </w:pPr>
      <w:r>
        <w:rPr>
          <w:color w:val="auto"/>
        </w:rPr>
        <w:t>消杀方式以喷药触杀为主。</w:t>
      </w:r>
    </w:p>
    <w:p>
      <w:pPr>
        <w:rPr>
          <w:color w:val="auto"/>
        </w:rPr>
      </w:pPr>
      <w:r>
        <w:rPr>
          <w:color w:val="auto"/>
        </w:rPr>
        <w:t>（11）、消杀时间间隔</w:t>
      </w:r>
    </w:p>
    <w:p>
      <w:pPr>
        <w:rPr>
          <w:color w:val="auto"/>
        </w:rPr>
      </w:pPr>
      <w:r>
        <w:rPr>
          <w:color w:val="auto"/>
        </w:rPr>
        <w:t>A 每15天对垃圾桶、垃圾中转站、卫生间、车库、排水渠等进行一次消杀活动。</w:t>
      </w:r>
    </w:p>
    <w:p>
      <w:pPr>
        <w:rPr>
          <w:color w:val="auto"/>
        </w:rPr>
      </w:pPr>
      <w:r>
        <w:rPr>
          <w:color w:val="auto"/>
        </w:rPr>
        <w:t>（12）、进行消杀活动时应注意的事项</w:t>
      </w:r>
    </w:p>
    <w:p>
      <w:pPr>
        <w:rPr>
          <w:color w:val="auto"/>
        </w:rPr>
      </w:pPr>
      <w:r>
        <w:rPr>
          <w:color w:val="auto"/>
        </w:rPr>
        <w:t>A 使用高效低毒消杀用品，按比例配制，用背式喷雾器按要求喷洒。喷洒时应做好预防措施，穿长衣裤，戴口罩，完工后换衣裤，用肥皂洗手。</w:t>
      </w:r>
    </w:p>
    <w:p>
      <w:pPr>
        <w:rPr>
          <w:color w:val="auto"/>
        </w:rPr>
      </w:pPr>
      <w:r>
        <w:rPr>
          <w:color w:val="auto"/>
        </w:rPr>
        <w:t>B  对</w:t>
      </w:r>
      <w:r>
        <w:rPr>
          <w:rFonts w:hint="eastAsia"/>
          <w:color w:val="auto"/>
          <w:lang w:val="en-US" w:eastAsia="zh-CN"/>
        </w:rPr>
        <w:t>仓库</w:t>
      </w:r>
      <w:r>
        <w:rPr>
          <w:color w:val="auto"/>
        </w:rPr>
        <w:t>外围进行喷洒时，尽量在顺风处喷洒，以减少对行人的影响。梯间喷杀时不要将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ascii="方正仿宋简体" w:eastAsia="方正仿宋简体"/>
          <w:b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</w:t>
      </w:r>
      <w:r>
        <w:rPr>
          <w:rFonts w:ascii="方正仿宋简体" w:eastAsia="方正仿宋简体"/>
          <w:b/>
          <w:color w:val="auto"/>
        </w:rPr>
        <w:t>中迅商旅（北京）投资有限公司</w:t>
      </w:r>
    </w:p>
    <w:p>
      <w:pPr>
        <w:rPr>
          <w:rFonts w:hint="eastAsia" w:ascii="方正仿宋简体" w:eastAsia="方正仿宋简体"/>
          <w:b/>
          <w:color w:val="auto"/>
          <w:lang w:val="en-US" w:eastAsia="zh-CN"/>
        </w:rPr>
      </w:pPr>
      <w:r>
        <w:rPr>
          <w:rFonts w:hint="eastAsia" w:ascii="方正仿宋简体" w:eastAsia="方正仿宋简体"/>
          <w:b/>
          <w:color w:val="auto"/>
          <w:lang w:val="en-US" w:eastAsia="zh-CN"/>
        </w:rPr>
        <w:t xml:space="preserve">                                                       编制：</w:t>
      </w:r>
      <w:r>
        <w:rPr>
          <w:rFonts w:hint="eastAsia" w:ascii="Arial" w:hAnsi="Arial" w:cs="Arial"/>
          <w:color w:val="auto"/>
          <w:kern w:val="0"/>
          <w:szCs w:val="21"/>
          <w:lang w:eastAsia="zh-CN"/>
        </w:rPr>
        <w:t>冯福祥</w:t>
      </w: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  <w:r>
        <w:rPr>
          <w:rFonts w:hint="eastAsia" w:ascii="方正仿宋简体" w:eastAsia="方正仿宋简体"/>
          <w:b/>
          <w:color w:val="auto"/>
          <w:lang w:val="en-US" w:eastAsia="zh-CN"/>
        </w:rPr>
        <w:t xml:space="preserve">                                                       时间：</w:t>
      </w:r>
      <w:r>
        <w:rPr>
          <w:rFonts w:ascii="方正仿宋简体" w:eastAsia="方正仿宋简体"/>
          <w:b/>
          <w:color w:val="auto"/>
          <w:sz w:val="24"/>
        </w:rPr>
        <w:t>2020.8.</w:t>
      </w:r>
      <w:r>
        <w:rPr>
          <w:rFonts w:hint="eastAsia" w:ascii="方正仿宋简体" w:eastAsia="方正仿宋简体"/>
          <w:b/>
          <w:color w:val="auto"/>
          <w:sz w:val="24"/>
          <w:lang w:val="en-US" w:eastAsia="zh-CN"/>
        </w:rPr>
        <w:t>20</w:t>
      </w:r>
      <w:r>
        <w:rPr>
          <w:rFonts w:hint="eastAsia" w:ascii="方正仿宋简体" w:eastAsia="方正仿宋简体"/>
          <w:b/>
          <w:color w:val="auto"/>
          <w:sz w:val="24"/>
        </w:rPr>
        <w:t xml:space="preserve"> </w:t>
      </w:r>
    </w:p>
    <w:p>
      <w:pPr>
        <w:rPr>
          <w:rFonts w:hint="eastAsia"/>
          <w:color w:val="auto"/>
        </w:rPr>
      </w:pPr>
    </w:p>
    <w:p>
      <w:pPr>
        <w:rPr>
          <w:rFonts w:hint="default" w:ascii="方正仿宋简体" w:eastAsia="方正仿宋简体"/>
          <w:b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3188F"/>
    <w:multiLevelType w:val="singleLevel"/>
    <w:tmpl w:val="AF23188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B6D"/>
    <w:rsid w:val="001C5FAF"/>
    <w:rsid w:val="00351A76"/>
    <w:rsid w:val="00460450"/>
    <w:rsid w:val="00622CFD"/>
    <w:rsid w:val="006A5B6D"/>
    <w:rsid w:val="00706DDF"/>
    <w:rsid w:val="00A86622"/>
    <w:rsid w:val="00BD1567"/>
    <w:rsid w:val="00D46ACA"/>
    <w:rsid w:val="03384716"/>
    <w:rsid w:val="036312F8"/>
    <w:rsid w:val="03B274B2"/>
    <w:rsid w:val="03EB259D"/>
    <w:rsid w:val="071C26DC"/>
    <w:rsid w:val="07B51C1B"/>
    <w:rsid w:val="089F40F6"/>
    <w:rsid w:val="09BA3CF0"/>
    <w:rsid w:val="0ACF3399"/>
    <w:rsid w:val="0B13304B"/>
    <w:rsid w:val="0D1859A5"/>
    <w:rsid w:val="0E8D7BFC"/>
    <w:rsid w:val="0F9A4308"/>
    <w:rsid w:val="13C040E3"/>
    <w:rsid w:val="142367DC"/>
    <w:rsid w:val="14B345C9"/>
    <w:rsid w:val="164C1264"/>
    <w:rsid w:val="16966496"/>
    <w:rsid w:val="17632D08"/>
    <w:rsid w:val="199B11A3"/>
    <w:rsid w:val="1A167866"/>
    <w:rsid w:val="1B831CB6"/>
    <w:rsid w:val="1B987C19"/>
    <w:rsid w:val="1F1652BA"/>
    <w:rsid w:val="21C70E95"/>
    <w:rsid w:val="24764DBF"/>
    <w:rsid w:val="24F82611"/>
    <w:rsid w:val="254378A4"/>
    <w:rsid w:val="255654FC"/>
    <w:rsid w:val="2598435D"/>
    <w:rsid w:val="25B615B0"/>
    <w:rsid w:val="263C77EB"/>
    <w:rsid w:val="288051E8"/>
    <w:rsid w:val="2DA84D6D"/>
    <w:rsid w:val="2FD017A1"/>
    <w:rsid w:val="31565DD7"/>
    <w:rsid w:val="33100BC5"/>
    <w:rsid w:val="33C54AA1"/>
    <w:rsid w:val="350E4BD1"/>
    <w:rsid w:val="35B23EEE"/>
    <w:rsid w:val="36047C3B"/>
    <w:rsid w:val="36175D78"/>
    <w:rsid w:val="38614621"/>
    <w:rsid w:val="3BC475C6"/>
    <w:rsid w:val="3CC610C7"/>
    <w:rsid w:val="3DC63AAD"/>
    <w:rsid w:val="431B7F4F"/>
    <w:rsid w:val="436E0634"/>
    <w:rsid w:val="458E4375"/>
    <w:rsid w:val="460852F6"/>
    <w:rsid w:val="46FF490B"/>
    <w:rsid w:val="47B93B2D"/>
    <w:rsid w:val="488770AE"/>
    <w:rsid w:val="49E23F14"/>
    <w:rsid w:val="4B571B97"/>
    <w:rsid w:val="4C5E06DF"/>
    <w:rsid w:val="4C64142E"/>
    <w:rsid w:val="4CC0466D"/>
    <w:rsid w:val="4D524C01"/>
    <w:rsid w:val="4FAE5F76"/>
    <w:rsid w:val="50665A7A"/>
    <w:rsid w:val="5136273B"/>
    <w:rsid w:val="519B0A9A"/>
    <w:rsid w:val="52FD7F1D"/>
    <w:rsid w:val="57097D71"/>
    <w:rsid w:val="589A0C73"/>
    <w:rsid w:val="58ED70F7"/>
    <w:rsid w:val="5A4C483C"/>
    <w:rsid w:val="5AE62803"/>
    <w:rsid w:val="5C0A73EA"/>
    <w:rsid w:val="5F070ABC"/>
    <w:rsid w:val="603108B0"/>
    <w:rsid w:val="61583C3C"/>
    <w:rsid w:val="61AD46D4"/>
    <w:rsid w:val="620003A8"/>
    <w:rsid w:val="6358312B"/>
    <w:rsid w:val="63C75F7D"/>
    <w:rsid w:val="64127227"/>
    <w:rsid w:val="64571520"/>
    <w:rsid w:val="67225B97"/>
    <w:rsid w:val="6AAC3B0F"/>
    <w:rsid w:val="6C176F8D"/>
    <w:rsid w:val="6C902094"/>
    <w:rsid w:val="6D4410A4"/>
    <w:rsid w:val="6DD01796"/>
    <w:rsid w:val="71921F8A"/>
    <w:rsid w:val="72C2057F"/>
    <w:rsid w:val="731F3CD9"/>
    <w:rsid w:val="747938AC"/>
    <w:rsid w:val="76DE7CA3"/>
    <w:rsid w:val="790B22A0"/>
    <w:rsid w:val="7A416B63"/>
    <w:rsid w:val="7B363BFF"/>
    <w:rsid w:val="7C0A721B"/>
    <w:rsid w:val="7CDB5773"/>
    <w:rsid w:val="7E2A3BE7"/>
    <w:rsid w:val="7EDB4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2020-08-26T13:18:11Z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