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中迅商旅（北京）投资有限公司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曲丽娜</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E:实习审核员</w:t>
            </w:r>
          </w:p>
          <w:p>
            <w:pPr>
              <w:spacing w:line="240" w:lineRule="exact"/>
              <w:jc w:val="center"/>
              <w:rPr>
                <w:b/>
                <w:color w:val="000000" w:themeColor="text1"/>
                <w:sz w:val="20"/>
                <w:szCs w:val="20"/>
              </w:rPr>
            </w:pPr>
            <w:r>
              <w:rPr>
                <w:b/>
                <w:color w:val="000000" w:themeColor="text1"/>
                <w:sz w:val="20"/>
                <w:szCs w:val="20"/>
              </w:rPr>
              <w:t>O:实习审核员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Q:30.05.00</w:t>
            </w:r>
          </w:p>
          <w:p>
            <w:pPr>
              <w:spacing w:line="240" w:lineRule="exact"/>
              <w:jc w:val="center"/>
              <w:rPr>
                <w:b/>
                <w:color w:val="000000" w:themeColor="text1"/>
                <w:sz w:val="20"/>
                <w:szCs w:val="20"/>
              </w:rPr>
            </w:pPr>
            <w:r>
              <w:rPr>
                <w:b/>
                <w:color w:val="000000" w:themeColor="text1"/>
                <w:sz w:val="20"/>
                <w:szCs w:val="20"/>
              </w:rPr>
              <w:t>E:30.05.00</w:t>
            </w:r>
          </w:p>
          <w:p>
            <w:pPr>
              <w:spacing w:line="240" w:lineRule="exact"/>
              <w:jc w:val="center"/>
              <w:rPr>
                <w:b/>
                <w:color w:val="000000" w:themeColor="text1"/>
                <w:sz w:val="20"/>
                <w:szCs w:val="20"/>
              </w:rPr>
            </w:pPr>
            <w:r>
              <w:rPr>
                <w:b/>
                <w:color w:val="000000" w:themeColor="text1"/>
                <w:sz w:val="20"/>
                <w:szCs w:val="20"/>
              </w:rP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中迅商旅（北京）投资有限公司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北京市西城区平原里21号楼10层B1107</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100053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北京市西城区平原里21号楼10层B1107</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100053</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魏中华</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13701375198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魏中华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魏中华</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冯福祥</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Q：日用品的销售;餐饮管理</w:t>
            </w:r>
          </w:p>
          <w:p>
            <w:pPr>
              <w:spacing w:line="320" w:lineRule="exact"/>
              <w:rPr>
                <w:rFonts w:ascii="宋体" w:hAnsi="宋体"/>
                <w:b/>
                <w:color w:val="000000" w:themeColor="text1"/>
                <w:sz w:val="20"/>
                <w:szCs w:val="20"/>
              </w:rPr>
            </w:pPr>
            <w:r>
              <w:rPr>
                <w:rFonts w:ascii="宋体" w:hAnsi="宋体"/>
                <w:b/>
                <w:color w:val="000000" w:themeColor="text1"/>
                <w:sz w:val="20"/>
                <w:szCs w:val="20"/>
              </w:rPr>
              <w:t>E：日用品的销售;餐饮管理及相关环境管理活动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O：日用品的销售;餐饮管理及相关职业健康安全管理活动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Q：29.12.00;30.05.00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E：29.12.00;30.05.00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O：29.12.00;30.05.00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eastAsia="宋体" w:cs="宋体"/>
                <w:kern w:val="2"/>
                <w:sz w:val="21"/>
                <w:szCs w:val="21"/>
                <w:lang w:val="en-US" w:eastAsia="zh-CN" w:bidi="ar"/>
              </w:rPr>
              <w:t>管理层</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与管理层有关的质量、环境、安全职业健康安全管理活动</w:t>
            </w:r>
          </w:p>
          <w:p>
            <w:pPr>
              <w:keepNext w:val="0"/>
              <w:keepLines w:val="0"/>
              <w:widowControl w:val="0"/>
              <w:suppressLineNumbers w:val="0"/>
              <w:snapToGrid w:val="0"/>
              <w:spacing w:before="0" w:beforeAutospacing="0" w:after="0" w:afterAutospacing="0" w:line="260" w:lineRule="exact"/>
              <w:ind w:left="0" w:leftChars="0" w:right="0" w:rightChars="0"/>
              <w:jc w:val="left"/>
              <w:rPr>
                <w:rFonts w:ascii="宋体" w:hAnsi="宋体"/>
                <w:b/>
                <w:color w:val="000000" w:themeColor="text1"/>
                <w:spacing w:val="-20"/>
                <w:sz w:val="20"/>
                <w:szCs w:val="20"/>
                <w:u w:val="single"/>
              </w:rPr>
            </w:pPr>
            <w:r>
              <w:rPr>
                <w:rFonts w:hint="eastAsia" w:ascii="宋体" w:hAnsi="宋体" w:eastAsia="宋体" w:cs="宋体"/>
                <w:kern w:val="2"/>
                <w:sz w:val="21"/>
                <w:szCs w:val="21"/>
                <w:lang w:val="en-US" w:eastAsia="zh-CN" w:bidi="ar"/>
              </w:rPr>
              <w:t>资质验证/范围再确认/一阶段问题验证/投诉或事故/政府主管部门监督抽查情况。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eastAsia="宋体" w:cs="宋体"/>
                <w:kern w:val="2"/>
                <w:sz w:val="20"/>
                <w:szCs w:val="20"/>
                <w:lang w:val="en-US" w:eastAsia="zh-CN" w:bidi="ar"/>
              </w:rPr>
              <w:t>综合部</w:t>
            </w:r>
            <w:r>
              <w:rPr>
                <w:rFonts w:hint="eastAsia" w:ascii="宋体" w:hAnsi="宋体" w:eastAsia="宋体" w:cs="宋体"/>
                <w:kern w:val="2"/>
                <w:sz w:val="21"/>
                <w:szCs w:val="21"/>
                <w:lang w:val="en-US" w:eastAsia="zh-CN" w:bidi="ar"/>
              </w:rPr>
              <w:t>（含财务）</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ascii="宋体" w:hAnsi="宋体"/>
                <w:b/>
                <w:color w:val="000000" w:themeColor="text1"/>
                <w:spacing w:val="-20"/>
                <w:sz w:val="20"/>
                <w:szCs w:val="20"/>
                <w:u w:val="single"/>
              </w:rPr>
            </w:pPr>
            <w:r>
              <w:rPr>
                <w:rFonts w:hint="eastAsia" w:ascii="宋体" w:hAnsi="宋体" w:eastAsia="宋体" w:cs="宋体"/>
                <w:kern w:val="2"/>
                <w:sz w:val="21"/>
                <w:szCs w:val="21"/>
                <w:lang w:val="en-US" w:eastAsia="zh-CN" w:bidi="ar"/>
              </w:rPr>
              <w:t>目标管理方案,与管理过程控制；人力资源；文件记录控制；内外部信息交流过程；内审管理、与顾客有关的要求、评审变更及顾客满意，质量、环境职业健康安全管理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cs="宋体"/>
                <w:sz w:val="21"/>
                <w:szCs w:val="21"/>
                <w:lang w:val="en-US" w:eastAsia="zh-CN"/>
              </w:rPr>
              <w:t>综合部</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ascii="宋体" w:hAnsi="宋体"/>
                <w:b/>
                <w:color w:val="000000" w:themeColor="text1"/>
                <w:spacing w:val="-20"/>
                <w:sz w:val="20"/>
                <w:szCs w:val="20"/>
                <w:u w:val="single"/>
              </w:rPr>
            </w:pPr>
            <w:r>
              <w:rPr>
                <w:rFonts w:hint="eastAsia" w:ascii="宋体" w:hAnsi="宋体" w:eastAsia="宋体" w:cs="宋体"/>
                <w:kern w:val="2"/>
                <w:sz w:val="21"/>
                <w:szCs w:val="21"/>
                <w:lang w:val="en-US" w:eastAsia="zh-CN" w:bidi="ar"/>
              </w:rPr>
              <w:t>与供方有关的质量、环境、安全职业健康安全管理活动安全运行控制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宋体" w:hAnsi="宋体" w:eastAsia="宋体" w:cs="宋体"/>
                <w:kern w:val="2"/>
                <w:sz w:val="20"/>
                <w:szCs w:val="20"/>
                <w:lang w:val="en-US" w:eastAsia="zh-CN" w:bidi="ar"/>
              </w:rPr>
              <w:t>销售部</w:t>
            </w:r>
          </w:p>
        </w:tc>
        <w:tc>
          <w:tcPr>
            <w:tcW w:w="6804" w:type="dxa"/>
            <w:vAlign w:val="center"/>
          </w:tcPr>
          <w:p>
            <w:pPr>
              <w:keepNext w:val="0"/>
              <w:keepLines w:val="0"/>
              <w:widowControl w:val="0"/>
              <w:suppressLineNumbers w:val="0"/>
              <w:snapToGrid w:val="0"/>
              <w:spacing w:before="0" w:beforeAutospacing="0" w:after="0" w:afterAutospacing="0" w:line="260" w:lineRule="exact"/>
              <w:ind w:left="0" w:right="0"/>
              <w:jc w:val="left"/>
              <w:rPr>
                <w:rFonts w:ascii="宋体" w:hAnsi="宋体"/>
                <w:b/>
                <w:color w:val="000000" w:themeColor="text1"/>
                <w:spacing w:val="-20"/>
                <w:sz w:val="20"/>
                <w:szCs w:val="20"/>
                <w:u w:val="single"/>
              </w:rPr>
            </w:pPr>
            <w:r>
              <w:rPr>
                <w:rFonts w:hint="eastAsia" w:ascii="宋体" w:hAnsi="宋体" w:eastAsia="宋体" w:cs="宋体"/>
                <w:kern w:val="2"/>
                <w:sz w:val="21"/>
                <w:szCs w:val="21"/>
                <w:lang w:val="en-US" w:eastAsia="zh-CN" w:bidi="ar"/>
              </w:rPr>
              <w:t>策划、实施、放行、交付</w:t>
            </w:r>
            <w:r>
              <w:rPr>
                <w:rFonts w:hint="eastAsia" w:ascii="宋体" w:hAnsi="宋体" w:cs="宋体"/>
                <w:kern w:val="2"/>
                <w:sz w:val="21"/>
                <w:szCs w:val="21"/>
                <w:lang w:val="en-US" w:eastAsia="zh-CN" w:bidi="ar"/>
              </w:rPr>
              <w:t>、与客户有关的</w:t>
            </w:r>
            <w:r>
              <w:rPr>
                <w:rFonts w:hint="eastAsia" w:ascii="宋体" w:hAnsi="宋体" w:eastAsia="宋体" w:cs="宋体"/>
                <w:kern w:val="2"/>
                <w:sz w:val="21"/>
                <w:szCs w:val="21"/>
                <w:lang w:val="en-US" w:eastAsia="zh-CN" w:bidi="ar"/>
              </w:rPr>
              <w:t>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Cs w:val="21"/>
              </w:rPr>
            </w:pPr>
            <w:r>
              <w:rPr>
                <w:rFonts w:hint="eastAsia" w:ascii="宋体" w:hAnsi="宋体" w:eastAsia="宋体" w:cs="宋体"/>
                <w:kern w:val="2"/>
                <w:sz w:val="21"/>
                <w:szCs w:val="21"/>
                <w:lang w:val="en-US" w:eastAsia="zh-CN" w:bidi="ar"/>
              </w:rPr>
              <w:t>员工代表</w:t>
            </w:r>
          </w:p>
        </w:tc>
        <w:tc>
          <w:tcPr>
            <w:tcW w:w="6804" w:type="dxa"/>
          </w:tcPr>
          <w:p>
            <w:pPr>
              <w:keepNext w:val="0"/>
              <w:keepLines w:val="0"/>
              <w:widowControl w:val="0"/>
              <w:suppressLineNumbers w:val="0"/>
              <w:spacing w:before="0" w:beforeAutospacing="0" w:after="0" w:afterAutospacing="0" w:line="300" w:lineRule="exact"/>
              <w:ind w:left="0" w:right="0"/>
              <w:jc w:val="both"/>
              <w:rPr>
                <w:rFonts w:ascii="宋体" w:hAnsi="宋体"/>
                <w:b/>
                <w:color w:val="000000" w:themeColor="text1"/>
                <w:spacing w:val="-20"/>
                <w:szCs w:val="21"/>
                <w:u w:val="single"/>
              </w:rPr>
            </w:pPr>
            <w:r>
              <w:rPr>
                <w:rFonts w:hint="eastAsia" w:ascii="宋体" w:hAnsi="宋体" w:eastAsia="宋体" w:cs="宋体"/>
                <w:kern w:val="2"/>
                <w:sz w:val="21"/>
                <w:szCs w:val="21"/>
                <w:lang w:val="en-US" w:eastAsia="zh-CN" w:bidi="ar"/>
              </w:rPr>
              <w:t>职业健康安全事务代表的参与情况</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917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5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44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573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446"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Q：日用品的销售;餐饮管理</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E：日用品的销售;餐饮管理及相关环境管理活动</w:t>
            </w:r>
          </w:p>
          <w:p>
            <w:pPr>
              <w:rPr>
                <w:b/>
                <w:color w:val="000000" w:themeColor="text1"/>
                <w:sz w:val="20"/>
                <w:szCs w:val="20"/>
              </w:rPr>
            </w:pPr>
            <w:r>
              <w:rPr>
                <w:rFonts w:hint="eastAsia" w:asciiTheme="minorEastAsia" w:hAnsiTheme="minorEastAsia" w:eastAsiaTheme="minorEastAsia" w:cstheme="minorEastAsia"/>
                <w:sz w:val="21"/>
                <w:szCs w:val="21"/>
              </w:rPr>
              <w:t>O：日用品的销售;餐饮管理及相关职业健康安全管理活动</w:t>
            </w:r>
          </w:p>
        </w:tc>
        <w:tc>
          <w:tcPr>
            <w:tcW w:w="5733" w:type="dxa"/>
          </w:tcPr>
          <w:p>
            <w:pPr>
              <w:snapToGrid w:val="0"/>
              <w:spacing w:line="280" w:lineRule="exact"/>
              <w:jc w:val="left"/>
              <w:rPr>
                <w:rFonts w:hint="eastAsia" w:ascii="宋体" w:hAnsi="宋体" w:cs="宋体"/>
                <w:kern w:val="0"/>
                <w:szCs w:val="21"/>
              </w:rPr>
            </w:pPr>
            <w:r>
              <w:rPr>
                <w:rFonts w:hint="eastAsia" w:ascii="宋体" w:hAnsi="宋体" w:cs="宋体"/>
                <w:kern w:val="0"/>
                <w:szCs w:val="21"/>
              </w:rPr>
              <w:t>环境相关法律法规：中华人民共和国环境保护法</w:t>
            </w:r>
          </w:p>
          <w:p>
            <w:pPr>
              <w:snapToGrid w:val="0"/>
              <w:spacing w:line="280" w:lineRule="exact"/>
              <w:jc w:val="left"/>
              <w:rPr>
                <w:rFonts w:hint="eastAsia" w:ascii="宋体" w:hAnsi="宋体" w:cs="宋体"/>
                <w:kern w:val="0"/>
                <w:szCs w:val="21"/>
              </w:rPr>
            </w:pPr>
            <w:r>
              <w:rPr>
                <w:rFonts w:hint="eastAsia" w:ascii="宋体" w:hAnsi="宋体" w:cs="宋体"/>
                <w:kern w:val="0"/>
                <w:szCs w:val="21"/>
              </w:rPr>
              <w:t>中华人民共和国固体废物污染环境防治法</w:t>
            </w:r>
          </w:p>
          <w:p>
            <w:pPr>
              <w:snapToGrid w:val="0"/>
              <w:spacing w:line="280" w:lineRule="exact"/>
              <w:jc w:val="left"/>
              <w:rPr>
                <w:rFonts w:hint="eastAsia" w:ascii="宋体" w:hAnsi="宋体" w:cs="宋体"/>
                <w:kern w:val="0"/>
                <w:szCs w:val="21"/>
              </w:rPr>
            </w:pPr>
            <w:r>
              <w:rPr>
                <w:rFonts w:hint="eastAsia" w:ascii="宋体" w:hAnsi="宋体" w:cs="宋体"/>
                <w:kern w:val="0"/>
                <w:szCs w:val="21"/>
              </w:rPr>
              <w:t>中华人民共和国大气污染防治法</w:t>
            </w:r>
          </w:p>
          <w:p>
            <w:pPr>
              <w:snapToGrid w:val="0"/>
              <w:spacing w:line="280" w:lineRule="exact"/>
              <w:jc w:val="left"/>
              <w:rPr>
                <w:rFonts w:hint="eastAsia" w:ascii="宋体" w:hAnsi="宋体" w:cs="宋体"/>
                <w:kern w:val="0"/>
                <w:szCs w:val="21"/>
              </w:rPr>
            </w:pPr>
            <w:r>
              <w:rPr>
                <w:rFonts w:hint="eastAsia" w:ascii="宋体" w:hAnsi="宋体" w:cs="宋体"/>
                <w:kern w:val="0"/>
                <w:szCs w:val="21"/>
              </w:rPr>
              <w:t>中华人民共和国水污染防治法</w:t>
            </w:r>
          </w:p>
          <w:p>
            <w:pPr>
              <w:snapToGrid w:val="0"/>
              <w:spacing w:line="280" w:lineRule="exact"/>
              <w:jc w:val="left"/>
              <w:rPr>
                <w:rFonts w:hint="eastAsia" w:ascii="宋体" w:hAnsi="宋体" w:cs="宋体"/>
                <w:kern w:val="0"/>
                <w:szCs w:val="21"/>
              </w:rPr>
            </w:pPr>
            <w:r>
              <w:rPr>
                <w:rFonts w:hint="eastAsia" w:ascii="宋体" w:hAnsi="宋体" w:cs="宋体"/>
                <w:kern w:val="0"/>
                <w:szCs w:val="21"/>
              </w:rPr>
              <w:t>中华人民共和国环境影响评价法</w:t>
            </w:r>
          </w:p>
          <w:p>
            <w:pPr>
              <w:snapToGrid w:val="0"/>
              <w:spacing w:line="280" w:lineRule="exact"/>
              <w:jc w:val="left"/>
              <w:rPr>
                <w:rFonts w:hint="eastAsia" w:ascii="宋体" w:hAnsi="宋体" w:cs="宋体"/>
                <w:kern w:val="0"/>
                <w:szCs w:val="21"/>
              </w:rPr>
            </w:pPr>
            <w:r>
              <w:rPr>
                <w:rFonts w:hint="eastAsia" w:ascii="宋体" w:hAnsi="宋体" w:cs="宋体"/>
                <w:kern w:val="0"/>
                <w:szCs w:val="21"/>
              </w:rPr>
              <w:t>中华人民共和国环境噪声污染防治法</w:t>
            </w:r>
          </w:p>
          <w:p>
            <w:pPr>
              <w:snapToGrid w:val="0"/>
              <w:spacing w:line="280" w:lineRule="exact"/>
              <w:jc w:val="left"/>
              <w:rPr>
                <w:rFonts w:hint="eastAsia" w:ascii="宋体" w:hAnsi="宋体" w:cs="宋体"/>
                <w:kern w:val="0"/>
                <w:szCs w:val="21"/>
              </w:rPr>
            </w:pPr>
            <w:r>
              <w:rPr>
                <w:rFonts w:hint="eastAsia" w:ascii="宋体" w:hAnsi="宋体" w:cs="宋体"/>
                <w:kern w:val="0"/>
                <w:szCs w:val="21"/>
              </w:rPr>
              <w:t>城市生活垃圾管理办法</w:t>
            </w:r>
          </w:p>
          <w:p>
            <w:pPr>
              <w:snapToGrid w:val="0"/>
              <w:spacing w:line="280" w:lineRule="exact"/>
              <w:jc w:val="left"/>
              <w:rPr>
                <w:rFonts w:hint="eastAsia" w:ascii="宋体" w:hAnsi="宋体" w:cs="宋体"/>
                <w:kern w:val="0"/>
                <w:szCs w:val="21"/>
              </w:rPr>
            </w:pPr>
            <w:r>
              <w:rPr>
                <w:rFonts w:hint="eastAsia" w:ascii="宋体" w:hAnsi="宋体" w:cs="宋体"/>
                <w:kern w:val="0"/>
                <w:szCs w:val="21"/>
              </w:rPr>
              <w:t>消防安全标志设置要求</w:t>
            </w:r>
          </w:p>
          <w:p>
            <w:pPr>
              <w:snapToGrid w:val="0"/>
              <w:spacing w:line="280" w:lineRule="exact"/>
              <w:jc w:val="left"/>
              <w:rPr>
                <w:rFonts w:hint="eastAsia" w:ascii="宋体" w:hAnsi="宋体" w:cs="宋体"/>
                <w:kern w:val="0"/>
                <w:szCs w:val="21"/>
              </w:rPr>
            </w:pPr>
            <w:r>
              <w:rPr>
                <w:rFonts w:hint="eastAsia" w:ascii="宋体" w:hAnsi="宋体" w:cs="宋体"/>
                <w:kern w:val="0"/>
                <w:szCs w:val="21"/>
              </w:rPr>
              <w:t>职业健康检查管理办法</w:t>
            </w:r>
          </w:p>
          <w:p>
            <w:pPr>
              <w:snapToGrid w:val="0"/>
              <w:spacing w:line="280" w:lineRule="exact"/>
              <w:jc w:val="left"/>
              <w:rPr>
                <w:rFonts w:ascii="宋体" w:hAnsi="宋体" w:cs="宋体"/>
                <w:kern w:val="0"/>
                <w:szCs w:val="21"/>
              </w:rPr>
            </w:pPr>
            <w:r>
              <w:rPr>
                <w:rFonts w:hint="eastAsia" w:ascii="宋体" w:hAnsi="宋体" w:cs="宋体"/>
                <w:kern w:val="0"/>
                <w:szCs w:val="21"/>
              </w:rPr>
              <w:t>消防安全标志 第1部分：标志</w:t>
            </w:r>
          </w:p>
          <w:p>
            <w:pPr>
              <w:rPr>
                <w:b/>
                <w:color w:val="000000" w:themeColor="text1"/>
                <w:sz w:val="20"/>
                <w:szCs w:val="20"/>
              </w:rPr>
            </w:pPr>
            <w:r>
              <w:rPr>
                <w:rFonts w:hint="eastAsia" w:ascii="宋体" w:hAnsi="宋体"/>
                <w:szCs w:val="21"/>
              </w:rPr>
              <w:t>中华人民共和国食品安全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446" w:type="dxa"/>
          </w:tcPr>
          <w:p>
            <w:pPr>
              <w:rPr>
                <w:b/>
                <w:color w:val="000000" w:themeColor="text1"/>
                <w:sz w:val="20"/>
                <w:szCs w:val="20"/>
              </w:rPr>
            </w:pPr>
          </w:p>
        </w:tc>
        <w:tc>
          <w:tcPr>
            <w:tcW w:w="573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bookmarkStart w:id="23" w:name="_GoBack"/>
      <w:bookmarkEnd w:id="23"/>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2020-03-10</w:t>
      </w:r>
      <w:r>
        <w:rPr>
          <w:rFonts w:hint="eastAsia"/>
          <w:b/>
          <w:color w:val="000000" w:themeColor="text1"/>
          <w:spacing w:val="-10"/>
          <w:szCs w:val="21"/>
        </w:rPr>
        <w:t>至</w:t>
      </w:r>
      <w:r>
        <w:rPr>
          <w:rFonts w:hint="eastAsia"/>
          <w:b/>
          <w:color w:val="000000" w:themeColor="text1"/>
          <w:spacing w:val="-10"/>
          <w:szCs w:val="21"/>
          <w:lang w:val="en-US"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rPr>
                <w:rFonts w:hint="eastAsia"/>
                <w:szCs w:val="22"/>
                <w:lang w:eastAsia="zh-CN"/>
              </w:rPr>
            </w:pPr>
            <w:r>
              <w:rPr>
                <w:rFonts w:hint="eastAsia"/>
                <w:szCs w:val="22"/>
              </w:rPr>
              <w:t>公司成立于201</w:t>
            </w:r>
            <w:r>
              <w:rPr>
                <w:rFonts w:hint="eastAsia"/>
                <w:szCs w:val="22"/>
                <w:lang w:val="en-US" w:eastAsia="zh-CN"/>
              </w:rPr>
              <w:t>0</w:t>
            </w:r>
            <w:r>
              <w:rPr>
                <w:rFonts w:hint="eastAsia"/>
                <w:szCs w:val="22"/>
              </w:rPr>
              <w:t xml:space="preserve"> 年</w:t>
            </w:r>
            <w:r>
              <w:rPr>
                <w:rFonts w:hint="eastAsia"/>
                <w:szCs w:val="22"/>
                <w:lang w:val="en-US" w:eastAsia="zh-CN"/>
              </w:rPr>
              <w:t>1</w:t>
            </w:r>
            <w:r>
              <w:rPr>
                <w:rFonts w:hint="eastAsia"/>
                <w:szCs w:val="22"/>
              </w:rPr>
              <w:t>2月</w:t>
            </w:r>
            <w:r>
              <w:rPr>
                <w:rFonts w:hint="eastAsia"/>
                <w:szCs w:val="22"/>
                <w:lang w:val="en-US" w:eastAsia="zh-CN"/>
              </w:rPr>
              <w:t>08</w:t>
            </w:r>
            <w:r>
              <w:rPr>
                <w:rFonts w:hint="eastAsia"/>
                <w:szCs w:val="22"/>
              </w:rPr>
              <w:t>日，营业期限：201</w:t>
            </w:r>
            <w:r>
              <w:rPr>
                <w:rFonts w:hint="eastAsia"/>
                <w:szCs w:val="22"/>
                <w:lang w:val="en-US" w:eastAsia="zh-CN"/>
              </w:rPr>
              <w:t>0</w:t>
            </w:r>
            <w:r>
              <w:rPr>
                <w:rFonts w:hint="eastAsia"/>
                <w:szCs w:val="22"/>
              </w:rPr>
              <w:t>年</w:t>
            </w:r>
            <w:r>
              <w:rPr>
                <w:rFonts w:hint="eastAsia"/>
                <w:szCs w:val="22"/>
                <w:lang w:val="en-US" w:eastAsia="zh-CN"/>
              </w:rPr>
              <w:t>1</w:t>
            </w:r>
            <w:r>
              <w:rPr>
                <w:rFonts w:hint="eastAsia"/>
                <w:szCs w:val="22"/>
              </w:rPr>
              <w:t>2月</w:t>
            </w:r>
            <w:r>
              <w:rPr>
                <w:rFonts w:hint="eastAsia"/>
                <w:szCs w:val="22"/>
                <w:lang w:val="en-US" w:eastAsia="zh-CN"/>
              </w:rPr>
              <w:t>8</w:t>
            </w:r>
            <w:r>
              <w:rPr>
                <w:rFonts w:hint="eastAsia"/>
                <w:szCs w:val="22"/>
              </w:rPr>
              <w:t>日-2</w:t>
            </w:r>
            <w:r>
              <w:rPr>
                <w:rFonts w:hint="eastAsia"/>
                <w:szCs w:val="22"/>
                <w:lang w:val="en-US" w:eastAsia="zh-CN"/>
              </w:rPr>
              <w:t>040</w:t>
            </w:r>
            <w:r>
              <w:rPr>
                <w:rFonts w:hint="eastAsia"/>
                <w:szCs w:val="22"/>
              </w:rPr>
              <w:t>年</w:t>
            </w:r>
            <w:r>
              <w:rPr>
                <w:rFonts w:hint="eastAsia"/>
                <w:szCs w:val="22"/>
                <w:lang w:val="en-US" w:eastAsia="zh-CN"/>
              </w:rPr>
              <w:t>1</w:t>
            </w:r>
            <w:r>
              <w:rPr>
                <w:rFonts w:hint="eastAsia"/>
                <w:szCs w:val="22"/>
              </w:rPr>
              <w:t>2月</w:t>
            </w:r>
            <w:r>
              <w:rPr>
                <w:rFonts w:hint="eastAsia"/>
                <w:szCs w:val="22"/>
                <w:lang w:val="en-US" w:eastAsia="zh-CN"/>
              </w:rPr>
              <w:t>07</w:t>
            </w:r>
            <w:r>
              <w:rPr>
                <w:rFonts w:hint="eastAsia"/>
                <w:szCs w:val="22"/>
              </w:rPr>
              <w:t>日，注册资金：</w:t>
            </w:r>
            <w:r>
              <w:rPr>
                <w:rFonts w:hint="eastAsia"/>
                <w:szCs w:val="22"/>
                <w:lang w:val="en-US" w:eastAsia="zh-CN"/>
              </w:rPr>
              <w:t>102</w:t>
            </w:r>
            <w:r>
              <w:rPr>
                <w:rFonts w:hint="eastAsia"/>
                <w:szCs w:val="22"/>
              </w:rPr>
              <w:t>0万，企业信用代码：9111010</w:t>
            </w:r>
            <w:r>
              <w:rPr>
                <w:rFonts w:hint="eastAsia"/>
                <w:szCs w:val="22"/>
                <w:lang w:val="en-US" w:eastAsia="zh-CN"/>
              </w:rPr>
              <w:t>25657693007</w:t>
            </w:r>
            <w:r>
              <w:rPr>
                <w:rFonts w:hint="eastAsia"/>
                <w:szCs w:val="22"/>
              </w:rPr>
              <w:t>，注册地址：北京市</w:t>
            </w:r>
            <w:r>
              <w:rPr>
                <w:rFonts w:hint="eastAsia"/>
                <w:szCs w:val="22"/>
                <w:lang w:eastAsia="zh-CN"/>
              </w:rPr>
              <w:t>西城区平原里</w:t>
            </w:r>
            <w:r>
              <w:rPr>
                <w:rFonts w:hint="eastAsia"/>
                <w:szCs w:val="22"/>
                <w:lang w:val="en-US" w:eastAsia="zh-CN"/>
              </w:rPr>
              <w:t>21号楼10层B1107</w:t>
            </w:r>
            <w:r>
              <w:rPr>
                <w:rFonts w:hint="eastAsia"/>
                <w:szCs w:val="22"/>
              </w:rPr>
              <w:t>，经营范围包括日用品的销售</w:t>
            </w:r>
            <w:r>
              <w:rPr>
                <w:rFonts w:hint="eastAsia"/>
                <w:szCs w:val="22"/>
                <w:lang w:eastAsia="zh-CN"/>
              </w:rPr>
              <w:t>、</w:t>
            </w:r>
            <w:r>
              <w:rPr>
                <w:rFonts w:hint="eastAsia"/>
                <w:szCs w:val="22"/>
              </w:rPr>
              <w:t>餐饮管理</w:t>
            </w:r>
            <w:r>
              <w:rPr>
                <w:rFonts w:hint="eastAsia"/>
                <w:szCs w:val="22"/>
                <w:lang w:eastAsia="zh-CN"/>
              </w:rPr>
              <w:t>。</w:t>
            </w:r>
          </w:p>
          <w:p>
            <w:pPr>
              <w:rPr>
                <w:rFonts w:hint="eastAsia"/>
                <w:szCs w:val="22"/>
              </w:rPr>
            </w:pPr>
            <w:r>
              <w:rPr>
                <w:rFonts w:hint="eastAsia"/>
                <w:szCs w:val="22"/>
              </w:rPr>
              <w:t>公司的主要客户群为北京的企业等；公司采用总经理负责制，层层把关，让用户真正放心</w:t>
            </w:r>
          </w:p>
          <w:p>
            <w:pPr>
              <w:rPr>
                <w:rFonts w:hint="eastAsia"/>
                <w:szCs w:val="22"/>
              </w:rPr>
            </w:pPr>
            <w:r>
              <w:rPr>
                <w:rFonts w:hint="eastAsia"/>
                <w:szCs w:val="22"/>
              </w:rPr>
              <w:t>远程见到营业执照，见附件。</w:t>
            </w:r>
          </w:p>
          <w:p>
            <w:pPr>
              <w:pStyle w:val="2"/>
            </w:pPr>
            <w:r>
              <w:rPr>
                <w:rFonts w:hint="eastAsia"/>
                <w:szCs w:val="22"/>
              </w:rPr>
              <w:t>管理手册，实施、发布日期：20</w:t>
            </w:r>
            <w:r>
              <w:rPr>
                <w:rFonts w:hint="eastAsia"/>
                <w:szCs w:val="22"/>
                <w:lang w:val="en-US" w:eastAsia="zh-CN"/>
              </w:rPr>
              <w:t>20</w:t>
            </w:r>
            <w:r>
              <w:rPr>
                <w:rFonts w:hint="eastAsia"/>
                <w:szCs w:val="22"/>
              </w:rPr>
              <w:t>.</w:t>
            </w:r>
            <w:r>
              <w:rPr>
                <w:rFonts w:hint="eastAsia"/>
                <w:szCs w:val="22"/>
                <w:lang w:val="en-US" w:eastAsia="zh-CN"/>
              </w:rPr>
              <w:t>3</w:t>
            </w:r>
            <w:r>
              <w:rPr>
                <w:rFonts w:hint="eastAsia"/>
                <w:szCs w:val="22"/>
              </w:rPr>
              <w:t>.10；远程视频查看，办公区面积约</w:t>
            </w:r>
            <w:r>
              <w:rPr>
                <w:rFonts w:hint="eastAsia"/>
                <w:szCs w:val="22"/>
                <w:lang w:val="en-US" w:eastAsia="zh-CN"/>
              </w:rPr>
              <w:t>63.17</w:t>
            </w:r>
            <w:r>
              <w:rPr>
                <w:rFonts w:hint="eastAsia"/>
                <w:szCs w:val="22"/>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szCs w:val="22"/>
              </w:rPr>
            </w:pPr>
            <w:r>
              <w:rPr>
                <w:rFonts w:hint="eastAsia"/>
                <w:szCs w:val="22"/>
              </w:rPr>
              <w:t>公司的最高管理者及管理层在考虑相关方对公司提供符合顾客要求和适用法律法规要求的产品和服务的能力产生影响或潜在影响时，结合公司的实际情况，确定与质量/环境/职业健康安全管理体系有关的相关方，并确定其要求。因此，公司确定了：</w:t>
            </w:r>
          </w:p>
          <w:p>
            <w:pPr>
              <w:rPr>
                <w:rFonts w:hint="eastAsia"/>
                <w:szCs w:val="22"/>
              </w:rPr>
            </w:pPr>
            <w:bookmarkStart w:id="20" w:name="_Toc475020125"/>
            <w:bookmarkStart w:id="21" w:name="_Toc475019994"/>
            <w:r>
              <w:rPr>
                <w:rFonts w:hint="eastAsia"/>
                <w:szCs w:val="22"/>
              </w:rPr>
              <w:t>与质量/环境/职业健康安全管理体系有关的相关方</w:t>
            </w:r>
            <w:bookmarkEnd w:id="20"/>
            <w:bookmarkEnd w:id="21"/>
            <w:r>
              <w:rPr>
                <w:rFonts w:hint="eastAsia"/>
                <w:szCs w:val="22"/>
              </w:rPr>
              <w:t>；</w:t>
            </w:r>
          </w:p>
          <w:p>
            <w:pPr>
              <w:rPr>
                <w:rFonts w:hint="eastAsia"/>
                <w:szCs w:val="22"/>
              </w:rPr>
            </w:pPr>
            <w:r>
              <w:rPr>
                <w:rFonts w:hint="eastAsia"/>
                <w:szCs w:val="22"/>
              </w:rPr>
              <w:t>公司的相关方包括：包括客户、供应商、员工、审核机构及政府机关等。</w:t>
            </w:r>
          </w:p>
          <w:p>
            <w:pPr>
              <w:rPr>
                <w:rFonts w:hint="eastAsia"/>
                <w:szCs w:val="22"/>
              </w:rPr>
            </w:pPr>
            <w:r>
              <w:rPr>
                <w:rFonts w:hint="eastAsia"/>
                <w:szCs w:val="22"/>
              </w:rPr>
              <w:t>公司还更新以上确定的结果，以便于理解和满足影响顾客要求和顾客满意度的需求和期望。</w:t>
            </w:r>
          </w:p>
          <w:p>
            <w:pPr>
              <w:pStyle w:val="2"/>
              <w:numPr>
                <w:ilvl w:val="0"/>
                <w:numId w:val="0"/>
              </w:numPr>
            </w:pPr>
            <w:r>
              <w:rPr>
                <w:rFonts w:hint="eastAsia"/>
                <w:szCs w:val="22"/>
              </w:rPr>
              <w:t>查组织环境分析报告，对客户，供应商、审核机构及政府机</w:t>
            </w:r>
            <w:r>
              <w:rPr>
                <w:rFonts w:hint="eastAsia"/>
                <w:szCs w:val="22"/>
                <w:lang w:eastAsia="zh-CN"/>
              </w:rPr>
              <w:t>关</w:t>
            </w:r>
            <w:r>
              <w:rPr>
                <w:rFonts w:hint="eastAsia"/>
                <w:szCs w:val="22"/>
              </w:rPr>
              <w:t>进行了分析。报告日期为2020.3.10，编制人为安媛，审批人为魏中华。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w:t>
            </w:r>
          </w:p>
          <w:p>
            <w:pPr>
              <w:rPr>
                <w:rFonts w:hint="eastAsia"/>
                <w:szCs w:val="22"/>
              </w:rPr>
            </w:pPr>
            <w:r>
              <w:rPr>
                <w:rFonts w:hint="eastAsia"/>
                <w:szCs w:val="22"/>
              </w:rPr>
              <w:t>该公司管理方针</w:t>
            </w:r>
          </w:p>
          <w:p>
            <w:pPr>
              <w:rPr>
                <w:rFonts w:hint="eastAsia"/>
                <w:szCs w:val="22"/>
              </w:rPr>
            </w:pPr>
            <w:r>
              <w:rPr>
                <w:rFonts w:hint="eastAsia"/>
                <w:szCs w:val="22"/>
              </w:rPr>
              <w:t>守法诚信追求质量，预防污染保护环境；</w:t>
            </w:r>
          </w:p>
          <w:p>
            <w:pPr>
              <w:rPr>
                <w:rFonts w:hint="eastAsia"/>
                <w:szCs w:val="22"/>
              </w:rPr>
            </w:pPr>
            <w:r>
              <w:rPr>
                <w:rFonts w:hint="eastAsia"/>
                <w:szCs w:val="22"/>
              </w:rPr>
              <w:t xml:space="preserve">      关爱员工健康安全，持续改进追求卓越。</w:t>
            </w:r>
          </w:p>
          <w:p>
            <w:r>
              <w:rPr>
                <w:rFonts w:hint="eastAsia"/>
                <w:szCs w:val="22"/>
              </w:rPr>
              <w:t>公司以质量、环境、职业健康安全标准为基础，结合公司实际特制定管理方针。与总经理进行交谈，总经理魏中华对方针内涵的理解较深刻。方针能为制定目标提供框架，方针基本符合标准的要求。</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rPr>
                <w:rFonts w:hint="eastAsia"/>
                <w:szCs w:val="22"/>
              </w:rPr>
            </w:pPr>
            <w:r>
              <w:rPr>
                <w:rFonts w:hint="eastAsia"/>
                <w:szCs w:val="22"/>
              </w:rPr>
              <w:t>企业识别了如下分析：</w:t>
            </w:r>
          </w:p>
          <w:p>
            <w:pPr>
              <w:rPr>
                <w:rFonts w:hint="eastAsia"/>
                <w:szCs w:val="22"/>
              </w:rPr>
            </w:pPr>
            <w:r>
              <w:rPr>
                <w:rFonts w:hint="eastAsia"/>
                <w:szCs w:val="22"/>
              </w:rPr>
              <w:t>政策风险：司属于销售行业，主要客户为各企事业单位，及个体经营者、厂区，有产业和政策调整的风险较小。但为了防止未来有可能发生改变的政策，企业拟在其它类型的工作业务扩大做准备。</w:t>
            </w:r>
          </w:p>
          <w:p>
            <w:pPr>
              <w:rPr>
                <w:rFonts w:hint="eastAsia"/>
                <w:szCs w:val="22"/>
              </w:rPr>
            </w:pPr>
            <w:r>
              <w:rPr>
                <w:rFonts w:hint="eastAsia"/>
                <w:szCs w:val="22"/>
              </w:rPr>
              <w:t>2、资金风险：产品及人工成本不断提高，是对资金风险的考验，但不会是关键风险。</w:t>
            </w:r>
          </w:p>
          <w:p>
            <w:pPr>
              <w:rPr>
                <w:rFonts w:hint="eastAsia"/>
                <w:szCs w:val="22"/>
              </w:rPr>
            </w:pPr>
            <w:r>
              <w:rPr>
                <w:rFonts w:hint="eastAsia"/>
                <w:szCs w:val="22"/>
              </w:rPr>
              <w:t>3、技术风险：公司拟招聘经验丰富的销售人员，并不断组织人员到同行优秀企业学习，加大产品服务及后期作业工作能力的提升，不断提高我企业的行业竞争能力，规避相关技术风险。</w:t>
            </w:r>
          </w:p>
          <w:p>
            <w:pPr>
              <w:rPr>
                <w:rFonts w:hint="eastAsia"/>
                <w:szCs w:val="22"/>
              </w:rPr>
            </w:pPr>
            <w:r>
              <w:rPr>
                <w:rFonts w:hint="eastAsia"/>
                <w:szCs w:val="22"/>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rPr>
                <w:rFonts w:hint="eastAsia"/>
                <w:szCs w:val="22"/>
              </w:rPr>
            </w:pPr>
            <w:r>
              <w:rPr>
                <w:rFonts w:hint="eastAsia"/>
                <w:szCs w:val="22"/>
              </w:rPr>
              <w:t>5、来自市场的风险，加强公司内部人员的基础素质，提高专业技能、对于公司内部的机密信息不能外泄，保护好公司的内部人员，防止公司内部人员的流失。</w:t>
            </w:r>
          </w:p>
          <w:p>
            <w:pPr>
              <w:pStyle w:val="2"/>
              <w:numPr>
                <w:ilvl w:val="0"/>
                <w:numId w:val="0"/>
              </w:numPr>
              <w:ind w:leftChars="0"/>
            </w:pPr>
            <w:r>
              <w:rPr>
                <w:rFonts w:hint="eastAsia"/>
                <w:szCs w:val="22"/>
              </w:rPr>
              <w:t>风险评估结论：对于以上涉及到的主要风险，一旦发生，均可能对公司的发展造成巨大损失，所以我们应时刻监视并评价相关环境因素，尽可能的规避风险或降低发生概率。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pStyle w:val="2"/>
              <w:rPr>
                <w:rFonts w:hint="eastAsia"/>
              </w:rPr>
            </w:pPr>
            <w:r>
              <w:rPr>
                <w:rFonts w:hint="eastAsia"/>
              </w:rPr>
              <w:t>餐饮管理：客户接触----合同评审----签订合同----餐饮管理（餐前餐后卫生监督、保洁监督、个人卫生监督、餐厅管理）-----客户评价</w:t>
            </w:r>
          </w:p>
          <w:p>
            <w:pPr>
              <w:numPr>
                <w:ilvl w:val="0"/>
                <w:numId w:val="0"/>
              </w:numPr>
              <w:spacing w:line="360" w:lineRule="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日用品的销售</w:t>
            </w:r>
            <w:r>
              <w:rPr>
                <w:rFonts w:hint="eastAsia" w:ascii="宋体" w:hAnsi="宋体" w:cs="宋体"/>
                <w:color w:val="auto"/>
                <w:sz w:val="21"/>
                <w:szCs w:val="21"/>
                <w:lang w:eastAsia="zh-CN"/>
              </w:rPr>
              <w:t>：</w:t>
            </w:r>
          </w:p>
          <w:p>
            <w:pPr>
              <w:pStyle w:val="2"/>
              <w:rPr>
                <w:rFonts w:hint="eastAsia" w:ascii="Times New Roman" w:hAnsi="Times New Roman" w:cs="Times New Roman"/>
                <w:szCs w:val="22"/>
              </w:rPr>
            </w:pPr>
            <w:r>
              <w:rPr>
                <w:rFonts w:hint="eastAsia" w:ascii="Times New Roman" w:hAnsi="Times New Roman" w:cs="Times New Roman"/>
                <w:szCs w:val="22"/>
              </w:rPr>
              <w:t xml:space="preserve">客户接触----合同评审----签订合同-----客户付款------入帐------采购-----客户提货-----验收 </w:t>
            </w:r>
          </w:p>
          <w:p>
            <w:pPr>
              <w:pStyle w:val="2"/>
              <w:rPr>
                <w:rFonts w:hint="eastAsia" w:ascii="宋体" w:hAnsi="宋体"/>
                <w:b/>
                <w:color w:val="000000" w:themeColor="text1"/>
                <w:sz w:val="20"/>
                <w:szCs w:val="20"/>
              </w:rPr>
            </w:pPr>
            <w:r>
              <w:rPr>
                <w:rFonts w:hint="eastAsia" w:ascii="宋体" w:hAnsi="宋体" w:eastAsia="宋体" w:cs="宋体"/>
                <w:color w:val="auto"/>
                <w:sz w:val="21"/>
                <w:szCs w:val="21"/>
                <w:lang w:val="zh-CN" w:eastAsia="zh-CN"/>
              </w:rPr>
              <w:t>需确认过程：销售服务过程，有确认记录，见销售部</w:t>
            </w:r>
            <w:r>
              <w:rPr>
                <w:rFonts w:hint="eastAsia" w:ascii="宋体" w:hAnsi="宋体" w:eastAsia="宋体" w:cs="宋体"/>
                <w:color w:val="auto"/>
                <w:sz w:val="21"/>
                <w:szCs w:val="21"/>
                <w:lang w:val="en-US" w:eastAsia="zh-CN"/>
              </w:rPr>
              <w:t>Q8.5.1</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szCs w:val="22"/>
                <w:lang w:val="en-US" w:eastAsia="zh-CN"/>
              </w:rPr>
              <w:t xml:space="preserve">根据本公司产品特点，本公司日用品的销售;餐饮管理过程不涉及设计开发，故删除8.3条款，不影响体系运行的实施。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hint="eastAsia"/>
                <w:b/>
                <w:color w:val="000000" w:themeColor="text1"/>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hint="eastAsia" w:ascii="宋体" w:hAnsi="宋体"/>
                <w:b/>
                <w:color w:val="000000" w:themeColor="text1"/>
                <w:spacing w:val="-8"/>
                <w:sz w:val="20"/>
                <w:szCs w:val="20"/>
              </w:rPr>
            </w:pPr>
            <w:r>
              <w:rPr>
                <w:rFonts w:hint="eastAsia"/>
              </w:rPr>
              <w:t xml:space="preserve">7. </w:t>
            </w:r>
            <w:r>
              <w:t>OHSMS</w:t>
            </w:r>
            <w:r>
              <w:rPr>
                <w:rFonts w:hint="eastAsia"/>
              </w:rPr>
              <w:t>职业健康安全危险源</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编制了《环境因素识别与评价控制程序》，经查基本符合标准要求。</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提供《环境因素评价表》，《重要环境因素清单》，其中重要环境因素：火灾发生、固废排放。</w:t>
            </w:r>
          </w:p>
          <w:p>
            <w:pPr>
              <w:spacing w:line="394" w:lineRule="exact"/>
              <w:ind w:firstLine="420" w:firstLineChars="200"/>
              <w:rPr>
                <w:rFonts w:hint="eastAsia"/>
              </w:rPr>
            </w:pPr>
            <w:r>
              <w:rPr>
                <w:rFonts w:hint="eastAsia"/>
              </w:rPr>
              <w:t>编制了ZXSL -CX-8.1-21《危险源辨识、风险评价和控制措施的控制程序》符合标准要求，对影响职业健康安全的危险源，评价其风险程度及级别，不可接受风险评价的标准和更新的时机,并确定更新不可接受风险因素从而进行有效控制等方面的管理要求进行了规定，满足要求。</w:t>
            </w:r>
          </w:p>
          <w:p>
            <w:pPr>
              <w:spacing w:line="394" w:lineRule="exact"/>
              <w:ind w:firstLine="420" w:firstLineChars="200"/>
              <w:rPr>
                <w:rFonts w:hint="eastAsia" w:ascii="宋体" w:hAnsi="宋体"/>
                <w:b/>
                <w:color w:val="000000" w:themeColor="text1"/>
                <w:spacing w:val="-8"/>
                <w:sz w:val="20"/>
                <w:szCs w:val="20"/>
              </w:rPr>
            </w:pPr>
            <w:r>
              <w:rPr>
                <w:rFonts w:hint="eastAsia"/>
              </w:rPr>
              <w:t>企业提供的：“危险源识别与风险评价表”、“不可接受风险源清单”，评价考虑了将来、状态、可能导致的事件，并进行了评价，用打分法考虑了法规符合性、发生频次、影响范围等, 通过是非法，共识别出不可接受风险2项，涉及：潜在火灾、爆炸和触电，评价符合程序要求及公司的实际情况。对危险源的控制措施包括制定目标指标和管理方案、控制检查、应急预案、教育培训等。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是</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公司对管理体系所需的相关职能、层次和过程设定管理目标。</w:t>
            </w:r>
          </w:p>
          <w:p>
            <w:pPr>
              <w:spacing w:line="460" w:lineRule="exact"/>
              <w:jc w:val="lef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公司总目标：</w:t>
            </w:r>
          </w:p>
          <w:p>
            <w:pPr>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1）销售产品合格率98%；</w:t>
            </w:r>
          </w:p>
          <w:p>
            <w:pPr>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2）产品交付及时率98%；</w:t>
            </w:r>
          </w:p>
          <w:p>
            <w:pPr>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3）合同评审率100%；</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4）顾客满意率98%以上</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5)固体废弃物100%分类，合理处理；</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6）环境污染事故发生率为零</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7）各类重伤以上事故发生率为零； </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8）火灾事故发生率为零。</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目标可测量，与公司管理方针一致。</w:t>
            </w:r>
          </w:p>
          <w:p>
            <w:pPr>
              <w:autoSpaceDE w:val="0"/>
              <w:autoSpaceDN w:val="0"/>
              <w:adjustRightIn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综合部的目标分解为：</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采购产品合格率100%</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2、员工培训按时完成率100%。</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3、顾客满意率96%以上。</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4、环境污染事故为零。</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5、火灾事故发生率为零。</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每年由综合部按公司管理目标考核要求统计考核公司管理目标完成情况，提交管理评审会议。查到2020年3月-2020年6月，公司管理目标完成情况，各项目标均已完成，考核部门综合部。</w:t>
            </w:r>
          </w:p>
          <w:p>
            <w:pPr>
              <w:ind w:firstLine="420" w:firstLineChars="200"/>
              <w:rPr>
                <w:rFonts w:ascii="宋体" w:hAnsi="宋体"/>
                <w:b/>
                <w:color w:val="000000" w:themeColor="text1"/>
              </w:rPr>
            </w:pPr>
            <w:r>
              <w:rPr>
                <w:rFonts w:hint="eastAsia" w:asciiTheme="minorEastAsia" w:hAnsiTheme="minorEastAsia" w:eastAsiaTheme="minorEastAsia" w:cstheme="minorEastAsia"/>
                <w:sz w:val="21"/>
                <w:szCs w:val="21"/>
              </w:rPr>
              <w:t>查 “环境目标、指标和管理方案”和“职业健康安全目标、指标和管理方案”，公司针对重要环境因素和重大危险源制订了相应的管理方案。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受审核方建立的管理体系文件包括：</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1.管理手册ZXSL-SC-A/0-2020 A/0版，发布时间：2020年3月10日实施时间：2020年3月10日</w:t>
            </w:r>
          </w:p>
          <w:p>
            <w:pPr>
              <w:pStyle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2.程序文件ZXSL -CX -A/0-2020  A/0版含24个文件，包括标准要求的形成文件的信息。</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3.管理制度汇编：质量管理制度、销售管理制度等10个</w:t>
            </w:r>
          </w:p>
          <w:p>
            <w:pP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4.体系运行所需要的文件和记录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编制了《文件控制程序》《记录控制程序》用于对管理体系文件，符合标准要求。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查综合部管理手册、管理制度等文件均保管良好，为有效版本，有受控标识。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综合部负责收集有关产品的国家标准、行业标准的最新版本，分发到相关部门使用；收回旧标准。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查见《适用的法律法规及其他要求清单》，内容包括：序号、文件名称、编号、版本等，收集基本全面，基本符合。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以上外来文件保管良好，均为有效版本。</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查见《记录清单》，内容包括：序号、记录名称、编号、保存期、使用部门等。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共登记有不符合项报告、顾客满意程度调查表、文件发放回收记录、外来文件清单、培训记录表、环境因素清单等。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保存期限分别为三年和长期。</w:t>
            </w:r>
          </w:p>
          <w:p>
            <w:pPr>
              <w:ind w:firstLine="420" w:firstLineChars="200"/>
              <w:rPr>
                <w:rFonts w:ascii="宋体" w:hAnsi="宋体"/>
                <w:b/>
                <w:color w:val="000000" w:themeColor="text1"/>
                <w:sz w:val="20"/>
                <w:szCs w:val="20"/>
              </w:rPr>
            </w:pPr>
            <w:r>
              <w:rPr>
                <w:rFonts w:hint="eastAsia" w:asciiTheme="minorEastAsia" w:hAnsiTheme="minorEastAsia" w:eastAsiaTheme="minorEastAsia" w:cstheme="minorEastAsia"/>
                <w:sz w:val="21"/>
                <w:szCs w:val="21"/>
              </w:rPr>
              <w:t>抽查综合部办文件发放登记表、培训记录表、受控文件清单，固体废弃物处置记录，填写及保管符合要求。</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各部门保存各记录，按时间整理，放置在文件柜中，以便检索，综合部定期对其进行检查，目前保存完好。名称，编号构成记录的唯一性标识。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auto"/>
                <w:sz w:val="20"/>
                <w:szCs w:val="20"/>
              </w:rPr>
            </w:pPr>
            <w:r>
              <w:rPr>
                <w:rFonts w:hint="eastAsia" w:ascii="宋体" w:hAnsi="宋体"/>
                <w:b/>
                <w:color w:val="auto"/>
                <w:sz w:val="20"/>
                <w:szCs w:val="20"/>
              </w:rPr>
              <w:t>人力资源的简要说明</w:t>
            </w:r>
            <w:r>
              <w:rPr>
                <w:rFonts w:hint="eastAsia"/>
                <w:b/>
                <w:color w:val="auto"/>
                <w:sz w:val="20"/>
                <w:szCs w:val="20"/>
              </w:rPr>
              <w:t>.</w:t>
            </w:r>
            <w:r>
              <w:rPr>
                <w:rFonts w:hint="eastAsia" w:ascii="宋体" w:hAnsi="宋体"/>
                <w:b/>
                <w:color w:val="auto"/>
                <w:sz w:val="20"/>
                <w:szCs w:val="20"/>
              </w:rPr>
              <w:t>:</w:t>
            </w:r>
          </w:p>
          <w:p>
            <w:pPr>
              <w:spacing w:line="300" w:lineRule="exact"/>
              <w:rPr>
                <w:rFonts w:ascii="宋体" w:hAnsi="宋体"/>
                <w:b/>
                <w:color w:val="auto"/>
                <w:sz w:val="20"/>
                <w:szCs w:val="20"/>
              </w:rPr>
            </w:pPr>
            <w:r>
              <w:rPr>
                <w:rFonts w:hint="eastAsia" w:asciiTheme="minorEastAsia" w:hAnsiTheme="minorEastAsia" w:eastAsiaTheme="minorEastAsia" w:cstheme="minorEastAsia"/>
                <w:b w:val="0"/>
                <w:bCs/>
                <w:color w:val="auto"/>
                <w:sz w:val="21"/>
                <w:szCs w:val="21"/>
                <w:lang w:val="en-US" w:eastAsia="zh-CN"/>
              </w:rPr>
              <w:t>管理人员经培训上岗，销售人员需经培训并对其能力进行考核确认后上岗，目前人员配备基本满足要求。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auto"/>
                <w:sz w:val="20"/>
                <w:szCs w:val="20"/>
              </w:rPr>
            </w:pPr>
            <w:r>
              <w:rPr>
                <w:rFonts w:hint="eastAsia" w:ascii="宋体" w:hAnsi="宋体"/>
                <w:b/>
                <w:color w:val="auto"/>
                <w:sz w:val="20"/>
                <w:szCs w:val="20"/>
              </w:rPr>
              <w:t>设备设施（包括信息系统）、</w:t>
            </w:r>
          </w:p>
          <w:p>
            <w:pPr>
              <w:spacing w:line="240" w:lineRule="exact"/>
              <w:rPr>
                <w:rFonts w:ascii="宋体" w:hAnsi="宋体"/>
                <w:b/>
                <w:color w:val="auto"/>
                <w:sz w:val="20"/>
                <w:szCs w:val="20"/>
              </w:rPr>
            </w:pPr>
            <w:r>
              <w:rPr>
                <w:rFonts w:hint="eastAsia" w:asciiTheme="minorEastAsia" w:hAnsiTheme="minorEastAsia" w:eastAsiaTheme="minorEastAsia" w:cstheme="minorEastAsia"/>
                <w:b w:val="0"/>
                <w:bCs/>
                <w:color w:val="auto"/>
                <w:sz w:val="21"/>
                <w:szCs w:val="21"/>
                <w:lang w:val="en-US" w:eastAsia="zh-CN"/>
              </w:rPr>
              <w:t>销售信息登记电脑、仓库或货架、</w:t>
            </w:r>
            <w:r>
              <w:rPr>
                <w:rFonts w:hint="eastAsia"/>
                <w:color w:val="auto"/>
              </w:rPr>
              <w:t>监控设备、</w:t>
            </w:r>
            <w:r>
              <w:rPr>
                <w:rFonts w:hint="eastAsia" w:asciiTheme="minorEastAsia" w:hAnsiTheme="minorEastAsia" w:eastAsiaTheme="minorEastAsia" w:cstheme="minorEastAsia"/>
                <w:b w:val="0"/>
                <w:bCs/>
                <w:color w:val="auto"/>
                <w:sz w:val="21"/>
                <w:szCs w:val="21"/>
                <w:lang w:val="en-US" w:eastAsia="zh-CN"/>
              </w:rPr>
              <w:t>小推车、收款设备、监视设备</w:t>
            </w:r>
            <w:r>
              <w:rPr>
                <w:rFonts w:hint="eastAsia"/>
                <w:color w:val="auto"/>
              </w:rPr>
              <w:t>、</w:t>
            </w:r>
            <w:r>
              <w:rPr>
                <w:color w:val="auto"/>
              </w:rPr>
              <w:t>打印机</w:t>
            </w:r>
            <w:r>
              <w:rPr>
                <w:rFonts w:hint="eastAsia"/>
                <w:color w:val="auto"/>
              </w:rPr>
              <w:t>、复印机、办公桌椅等</w:t>
            </w:r>
            <w:r>
              <w:rPr>
                <w:rFonts w:hint="eastAsia" w:asciiTheme="minorEastAsia" w:hAnsiTheme="minorEastAsia" w:eastAsiaTheme="minorEastAsia" w:cstheme="minorEastAsia"/>
                <w:b w:val="0"/>
                <w:bCs/>
                <w:color w:val="auto"/>
                <w:sz w:val="21"/>
                <w:szCs w:val="21"/>
                <w:lang w:val="en-US" w:eastAsia="zh-CN"/>
              </w:rPr>
              <w:t>。</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库房通风干燥并满足消防安全的要求；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rPr>
            </w:pPr>
            <w:r>
              <w:rPr>
                <w:rFonts w:hint="eastAsia"/>
              </w:rPr>
              <w:t>监视和测量资源</w:t>
            </w:r>
          </w:p>
          <w:p>
            <w:pPr>
              <w:pStyle w:val="2"/>
              <w:rPr>
                <w:rFonts w:ascii="宋体" w:hAnsi="宋体"/>
                <w:b/>
                <w:color w:val="000000" w:themeColor="text1"/>
                <w:sz w:val="20"/>
                <w:szCs w:val="20"/>
              </w:rPr>
            </w:pPr>
            <w:r>
              <w:rPr>
                <w:rFonts w:hint="eastAsia"/>
                <w:lang w:eastAsia="zh-CN"/>
              </w:rPr>
              <w:t>摄像头等</w:t>
            </w:r>
            <w:r>
              <w:rPr>
                <w:rFonts w:hint="eastAsia" w:asciiTheme="minorEastAsia" w:hAnsiTheme="minorEastAsia" w:eastAsiaTheme="minorEastAsia" w:cstheme="minorEastAsia"/>
                <w:b w:val="0"/>
                <w:bCs/>
                <w:color w:val="auto"/>
                <w:sz w:val="21"/>
                <w:szCs w:val="21"/>
                <w:lang w:val="en-US" w:eastAsia="zh-CN"/>
              </w:rPr>
              <w:t>监视设备，销售人员考核。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rPr>
                <w:rFonts w:ascii="宋体" w:hAnsi="宋体"/>
                <w:b/>
                <w:color w:val="000000" w:themeColor="text1"/>
                <w:sz w:val="20"/>
                <w:szCs w:val="20"/>
              </w:rPr>
            </w:pPr>
            <w:r>
              <w:rPr>
                <w:rFonts w:hint="eastAsia"/>
              </w:rPr>
              <w:t>公司确定运行过程所需的知识，内部来源包括公司运作准则（管理制度、工作记录等）等。外部来源包括外来资料如认证标准、法律法规、市场信息等。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5"/>
              </w:num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rPr>
              <w:t>配备有灭火器等环保设施。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rPr>
              <w:t>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bCs/>
              </w:rPr>
              <w:t>1. 针对方针的管理职责评审</w:t>
            </w:r>
          </w:p>
          <w:p>
            <w:pPr>
              <w:spacing w:line="300" w:lineRule="exact"/>
              <w:ind w:left="1" w:leftChars="0"/>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2"/>
              <w:rPr>
                <w:rFonts w:hint="eastAsia"/>
              </w:rPr>
            </w:pPr>
            <w:r>
              <w:rPr>
                <w:rFonts w:hint="eastAsia"/>
              </w:rPr>
              <w:t>餐饮管理：客户接触----合同评审----签订合同----餐饮管理（餐前餐后卫生监督、保洁监督、个人卫生监督、餐厅管理）-----客户评价</w:t>
            </w:r>
          </w:p>
          <w:p>
            <w:pPr>
              <w:numPr>
                <w:ilvl w:val="0"/>
                <w:numId w:val="0"/>
              </w:numPr>
              <w:spacing w:line="360" w:lineRule="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日用品的销售</w:t>
            </w:r>
            <w:r>
              <w:rPr>
                <w:rFonts w:hint="eastAsia" w:ascii="宋体" w:hAnsi="宋体" w:cs="宋体"/>
                <w:color w:val="auto"/>
                <w:sz w:val="21"/>
                <w:szCs w:val="21"/>
                <w:lang w:eastAsia="zh-CN"/>
              </w:rPr>
              <w:t>：</w:t>
            </w:r>
          </w:p>
          <w:p>
            <w:pPr>
              <w:pStyle w:val="2"/>
              <w:rPr>
                <w:rFonts w:hint="eastAsia" w:ascii="Times New Roman" w:hAnsi="Times New Roman" w:cs="Times New Roman"/>
                <w:szCs w:val="22"/>
              </w:rPr>
            </w:pPr>
            <w:r>
              <w:rPr>
                <w:rFonts w:hint="eastAsia" w:ascii="Times New Roman" w:hAnsi="Times New Roman" w:cs="Times New Roman"/>
                <w:szCs w:val="22"/>
              </w:rPr>
              <w:t xml:space="preserve">客户接触----合同评审----签订合同-----客户付款------入帐------采购-----客户提货-----验收 </w:t>
            </w:r>
          </w:p>
          <w:p>
            <w:pPr>
              <w:spacing w:line="240" w:lineRule="exact"/>
              <w:rPr>
                <w:b/>
                <w:color w:val="000000" w:themeColor="text1"/>
                <w:sz w:val="20"/>
                <w:szCs w:val="20"/>
              </w:rPr>
            </w:pPr>
            <w:r>
              <w:rPr>
                <w:rFonts w:hint="eastAsia" w:ascii="宋体" w:hAnsi="宋体" w:eastAsia="宋体" w:cs="宋体"/>
                <w:color w:val="auto"/>
                <w:sz w:val="21"/>
                <w:szCs w:val="21"/>
                <w:lang w:val="zh-CN" w:eastAsia="zh-CN"/>
              </w:rPr>
              <w:t>需确认过程：销售服务过程，有确认记录，见销售部</w:t>
            </w:r>
            <w:r>
              <w:rPr>
                <w:rFonts w:hint="eastAsia" w:ascii="宋体" w:hAnsi="宋体" w:eastAsia="宋体" w:cs="宋体"/>
                <w:color w:val="auto"/>
                <w:sz w:val="21"/>
                <w:szCs w:val="21"/>
                <w:lang w:val="en-US" w:eastAsia="zh-CN"/>
              </w:rPr>
              <w:t>Q8.5.1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b/>
                <w:color w:val="000000" w:themeColor="text1"/>
                <w:sz w:val="20"/>
                <w:szCs w:val="20"/>
              </w:rPr>
            </w:pPr>
            <w:r>
              <w:rPr>
                <w:rFonts w:hint="eastAsia"/>
                <w:bCs/>
                <w:szCs w:val="21"/>
              </w:rPr>
              <w:t>按照顾客和合同要求进行服务，能够稳定的向顾客提供合格的销售产品及服务。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有检验报告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b/>
                <w:color w:val="000000" w:themeColor="text1"/>
                <w:sz w:val="20"/>
                <w:szCs w:val="20"/>
              </w:rPr>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重要环境因素：火灾后发生的环境影响、过期食品或包装物产生的固废；控制措施：及时回收或处理。</w:t>
            </w:r>
            <w:r>
              <w:rPr>
                <w:rFonts w:hint="eastAsia"/>
                <w:bCs/>
                <w:szCs w:val="21"/>
              </w:rPr>
              <w:t>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bCs/>
                <w:szCs w:val="21"/>
                <w:lang w:eastAsia="zh-CN"/>
              </w:rPr>
              <w:t>：</w:t>
            </w:r>
            <w:r>
              <w:rPr>
                <w:rFonts w:hint="eastAsia" w:ascii="宋体" w:hAnsi="宋体" w:eastAsia="宋体" w:cs="宋体"/>
                <w:color w:val="auto"/>
                <w:sz w:val="21"/>
                <w:szCs w:val="21"/>
              </w:rPr>
              <w:t>潜在火灾、触电</w:t>
            </w:r>
            <w:r>
              <w:rPr>
                <w:rFonts w:hint="eastAsia" w:ascii="宋体" w:hAnsi="宋体" w:cs="宋体"/>
                <w:color w:val="auto"/>
                <w:sz w:val="21"/>
                <w:szCs w:val="21"/>
                <w:lang w:eastAsia="zh-CN"/>
              </w:rPr>
              <w:t>等</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pacing w:val="-4"/>
                <w:sz w:val="20"/>
                <w:szCs w:val="20"/>
              </w:rPr>
            </w:pPr>
            <w:r>
              <w:rPr>
                <w:rFonts w:hint="eastAsia"/>
                <w:b/>
                <w:color w:val="000000" w:themeColor="text1"/>
                <w:sz w:val="20"/>
                <w:szCs w:val="20"/>
              </w:rPr>
              <w:t xml:space="preserve">9. 应急准备与相应活动的演练及对预案可行性的评价(当有规定时) </w:t>
            </w:r>
          </w:p>
          <w:p>
            <w:pPr>
              <w:spacing w:before="156" w:beforeLines="5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w:t>
            </w:r>
            <w:r>
              <w:rPr>
                <w:rFonts w:hint="eastAsia" w:ascii="宋体" w:hAnsi="宋体" w:eastAsia="宋体" w:cs="宋体"/>
                <w:color w:val="auto"/>
                <w:sz w:val="21"/>
                <w:szCs w:val="21"/>
              </w:rPr>
              <w:t>潜在火灾</w:t>
            </w:r>
            <w:r>
              <w:rPr>
                <w:rFonts w:hint="eastAsia" w:ascii="宋体" w:hAnsi="宋体" w:cs="宋体"/>
                <w:color w:val="auto"/>
                <w:sz w:val="21"/>
                <w:szCs w:val="21"/>
                <w:lang w:eastAsia="zh-CN"/>
              </w:rPr>
              <w:t>等</w:t>
            </w:r>
            <w:r>
              <w:rPr>
                <w:rFonts w:hint="eastAsia" w:ascii="宋体" w:hAnsi="宋体" w:eastAsia="宋体" w:cs="宋体"/>
                <w:color w:val="auto"/>
                <w:sz w:val="21"/>
                <w:szCs w:val="21"/>
                <w:lang w:eastAsia="zh-CN"/>
              </w:rPr>
              <w:t>制定了预案，</w:t>
            </w:r>
            <w:r>
              <w:rPr>
                <w:rFonts w:hint="eastAsia" w:asciiTheme="minorEastAsia" w:hAnsiTheme="minorEastAsia" w:eastAsiaTheme="minorEastAsia" w:cstheme="minorEastAsia"/>
                <w:b w:val="0"/>
                <w:bCs/>
                <w:color w:val="auto"/>
                <w:sz w:val="21"/>
                <w:szCs w:val="21"/>
                <w:lang w:val="en-US" w:eastAsia="zh-CN"/>
              </w:rPr>
              <w:t>做好防火措施及应急准备，</w:t>
            </w:r>
            <w:r>
              <w:rPr>
                <w:rFonts w:hint="eastAsia"/>
                <w:bCs/>
                <w:szCs w:val="21"/>
              </w:rPr>
              <w:t>对火灾等制定了应急预案，并按要求进行了演练和评审，对演练效果进行了评价</w:t>
            </w:r>
            <w:r>
              <w:rPr>
                <w:rFonts w:hint="eastAsia"/>
                <w:bCs/>
                <w:szCs w:val="21"/>
                <w:lang w:eastAsia="zh-CN"/>
              </w:rPr>
              <w:t>，</w:t>
            </w:r>
            <w:r>
              <w:rPr>
                <w:rFonts w:hint="eastAsia" w:asciiTheme="minorEastAsia" w:hAnsiTheme="minorEastAsia" w:eastAsiaTheme="minorEastAsia" w:cstheme="minorEastAsia"/>
                <w:b w:val="0"/>
                <w:bCs/>
                <w:color w:val="auto"/>
                <w:sz w:val="21"/>
                <w:szCs w:val="21"/>
                <w:lang w:val="en-US" w:eastAsia="zh-CN"/>
              </w:rPr>
              <w:t>做好交通安全规范开车等。</w:t>
            </w:r>
            <w:r>
              <w:rPr>
                <w:rFonts w:hint="eastAsia"/>
                <w:bCs/>
                <w:szCs w:val="21"/>
              </w:rPr>
              <w:t>目前公司不可接受风险对公司及周边环境影响不大，可得到有效控制。对相关方进行了必要告知。</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有，满足。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有，满足。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spacing w:line="240" w:lineRule="exact"/>
              <w:ind w:firstLine="420" w:firstLineChars="200"/>
              <w:rPr>
                <w:b/>
                <w:color w:val="000000" w:themeColor="text1"/>
                <w:sz w:val="28"/>
                <w:szCs w:val="28"/>
              </w:rPr>
            </w:pPr>
            <w:r>
              <w:rPr>
                <w:rFonts w:hint="eastAsia"/>
              </w:rPr>
              <w:t>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rFonts w:hint="eastAsia" w:eastAsia="宋体"/>
                <w:b/>
                <w:color w:val="000000" w:themeColor="text1"/>
                <w:spacing w:val="-10"/>
                <w:sz w:val="22"/>
                <w:szCs w:val="22"/>
                <w:lang w:eastAsia="zh-CN"/>
              </w:rPr>
            </w:pPr>
            <w:r>
              <w:rPr>
                <w:rFonts w:hint="eastAsia"/>
                <w:b/>
                <w:color w:val="000000" w:themeColor="text1"/>
                <w:spacing w:val="-10"/>
                <w:szCs w:val="21"/>
              </w:rPr>
              <w:t>□</w:t>
            </w:r>
            <w:r>
              <w:rPr>
                <w:rFonts w:hint="eastAsia"/>
                <w:b/>
                <w:color w:val="000000" w:themeColor="text1"/>
              </w:rPr>
              <w:t>审核范围变更，</w:t>
            </w:r>
            <w:r>
              <w:rPr>
                <w:rFonts w:hint="eastAsia"/>
                <w:b/>
                <w:color w:val="000000" w:themeColor="text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2"/>
        <w:rPr>
          <w:b/>
          <w:color w:val="000000" w:themeColor="text1"/>
          <w:spacing w:val="-10"/>
          <w:szCs w:val="21"/>
        </w:rPr>
      </w:pPr>
    </w:p>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auto"/>
          <w:sz w:val="26"/>
          <w:szCs w:val="26"/>
          <w:u w:val="single"/>
          <w:lang w:eastAsia="zh-CN"/>
        </w:rPr>
        <w:t>受疫情影响，本次为远程审核，预留现场审核日期及安排待定。</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626745" cy="274320"/>
            <wp:effectExtent l="0" t="0" r="190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default"/>
          <w:b/>
          <w:color w:val="000000" w:themeColor="text1"/>
          <w:sz w:val="26"/>
          <w:szCs w:val="26"/>
          <w:lang w:val="en-US"/>
        </w:rPr>
      </w:pPr>
      <w:r>
        <w:rPr>
          <w:rFonts w:hint="eastAsia"/>
          <w:b/>
          <w:color w:val="000000" w:themeColor="text1"/>
          <w:sz w:val="26"/>
          <w:szCs w:val="26"/>
        </w:rPr>
        <w:t>审核组组员（签名）：</w:t>
      </w:r>
      <w:r>
        <w:rPr>
          <w:rFonts w:hint="eastAsia" w:ascii="宋体" w:hAnsi="宋体"/>
          <w:kern w:val="2"/>
          <w:sz w:val="24"/>
          <w:lang w:val="en-US" w:eastAsia="zh-CN" w:bidi="ar-SA"/>
        </w:rPr>
        <w:t xml:space="preserve">  </w:t>
      </w:r>
      <w:r>
        <w:rPr>
          <w:rFonts w:hint="eastAsia"/>
          <w:color w:val="auto"/>
          <w:lang w:val="en-US" w:eastAsia="zh-CN"/>
        </w:rPr>
        <w:t xml:space="preserve"> </w:t>
      </w:r>
      <w:r>
        <w:rPr>
          <w:rFonts w:ascii="宋体" w:hAnsi="宋体"/>
          <w:kern w:val="2"/>
          <w:sz w:val="24"/>
          <w:lang w:val="en-US" w:eastAsia="zh-CN" w:bidi="ar-SA"/>
        </w:rPr>
        <w:drawing>
          <wp:inline distT="0" distB="0" distL="114300" distR="114300">
            <wp:extent cx="634365" cy="269240"/>
            <wp:effectExtent l="0" t="0" r="13335" b="16510"/>
            <wp:docPr id="8" name="图片 2" descr="55fab08e72c964295c924bd5977b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55fab08e72c964295c924bd5977bacc"/>
                    <pic:cNvPicPr>
                      <a:picLocks noChangeAspect="1"/>
                    </pic:cNvPicPr>
                  </pic:nvPicPr>
                  <pic:blipFill>
                    <a:blip r:embed="rId7"/>
                    <a:stretch>
                      <a:fillRect/>
                    </a:stretch>
                  </pic:blipFill>
                  <pic:spPr>
                    <a:xfrm>
                      <a:off x="0" y="0"/>
                      <a:ext cx="634365" cy="269240"/>
                    </a:xfrm>
                    <a:prstGeom prst="rect">
                      <a:avLst/>
                    </a:prstGeom>
                    <a:noFill/>
                    <a:ln>
                      <a:noFill/>
                    </a:ln>
                  </pic:spPr>
                </pic:pic>
              </a:graphicData>
            </a:graphic>
          </wp:inline>
        </w:drawing>
      </w:r>
      <w:r>
        <w:rPr>
          <w:rFonts w:hint="eastAsia" w:ascii="宋体" w:hAnsi="宋体"/>
          <w:kern w:val="2"/>
          <w:sz w:val="24"/>
          <w:lang w:val="en-US" w:eastAsia="zh-CN" w:bidi="ar-SA"/>
        </w:rPr>
        <w:t xml:space="preserve"> </w:t>
      </w:r>
      <w:r>
        <w:rPr>
          <w:rFonts w:ascii="宋体" w:hAnsi="宋体"/>
          <w:color w:val="auto"/>
          <w:kern w:val="2"/>
          <w:sz w:val="24"/>
          <w:lang w:val="en-US" w:eastAsia="zh-CN" w:bidi="ar-SA"/>
        </w:rPr>
        <w:drawing>
          <wp:inline distT="0" distB="0" distL="114300" distR="114300">
            <wp:extent cx="645160" cy="298450"/>
            <wp:effectExtent l="0" t="0" r="2540" b="6350"/>
            <wp:docPr id="5" name="图片 3" descr="微信图片_20200816151715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微信图片_20200816151715_WPS图片"/>
                    <pic:cNvPicPr>
                      <a:picLocks noChangeAspect="1"/>
                    </pic:cNvPicPr>
                  </pic:nvPicPr>
                  <pic:blipFill>
                    <a:blip r:embed="rId8">
                      <a:lum contrast="78000"/>
                    </a:blip>
                    <a:stretch>
                      <a:fillRect/>
                    </a:stretch>
                  </pic:blipFill>
                  <pic:spPr>
                    <a:xfrm>
                      <a:off x="0" y="0"/>
                      <a:ext cx="645160" cy="298450"/>
                    </a:xfrm>
                    <a:prstGeom prst="rect">
                      <a:avLst/>
                    </a:prstGeom>
                    <a:noFill/>
                    <a:ln>
                      <a:noFill/>
                    </a:ln>
                  </pic:spPr>
                </pic:pic>
              </a:graphicData>
            </a:graphic>
          </wp:inline>
        </w:drawing>
      </w:r>
      <w:r>
        <w:rPr>
          <w:rFonts w:hint="eastAsia" w:ascii="宋体" w:hAnsi="宋体"/>
          <w:color w:val="auto"/>
          <w:kern w:val="2"/>
          <w:sz w:val="24"/>
          <w:lang w:val="en-US" w:eastAsia="zh-CN" w:bidi="ar-SA"/>
        </w:rPr>
        <w:t xml:space="preserve"> </w:t>
      </w:r>
      <w:r>
        <w:drawing>
          <wp:inline distT="0" distB="0" distL="114300" distR="114300">
            <wp:extent cx="699135" cy="334645"/>
            <wp:effectExtent l="0" t="0" r="5715" b="825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lum contrast="78000"/>
                    </a:blip>
                    <a:stretch>
                      <a:fillRect/>
                    </a:stretch>
                  </pic:blipFill>
                  <pic:spPr>
                    <a:xfrm>
                      <a:off x="0" y="0"/>
                      <a:ext cx="699135" cy="33464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2020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20</w:t>
      </w:r>
      <w:r>
        <w:rPr>
          <w:rFonts w:hint="eastAsia" w:asciiTheme="minorEastAsia" w:hAnsiTheme="minorEastAsia" w:eastAsiaTheme="minorEastAsia"/>
          <w:b/>
          <w:color w:val="000000" w:themeColor="text1"/>
        </w:rPr>
        <w:t xml:space="preserve"> 日</w:t>
      </w:r>
    </w:p>
    <w:p>
      <w:pPr>
        <w:snapToGrid w:val="0"/>
        <w:spacing w:line="360" w:lineRule="auto"/>
        <w:ind w:firstLine="2347" w:firstLineChars="1461"/>
        <w:rPr>
          <w:b/>
          <w:color w:val="000000" w:themeColor="text1"/>
          <w:sz w:val="16"/>
          <w:szCs w:val="16"/>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w:t>
      </w:r>
      <w:r>
        <w:rPr>
          <w:rFonts w:hint="eastAsia"/>
          <w:b/>
          <w:color w:val="000000" w:themeColor="text1"/>
          <w:szCs w:val="21"/>
          <w:lang w:val="en-US" w:eastAsia="zh-CN"/>
        </w:rPr>
        <w:t>3</w:t>
      </w:r>
      <w:r>
        <w:rPr>
          <w:rFonts w:hint="eastAsia"/>
          <w:b/>
          <w:color w:val="000000" w:themeColor="text1"/>
          <w:szCs w:val="21"/>
        </w:rPr>
        <w:t>)个一般不符合，(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EMS(</w:t>
      </w:r>
      <w:r>
        <w:rPr>
          <w:rFonts w:hint="eastAsia"/>
          <w:b/>
          <w:color w:val="000000" w:themeColor="text1"/>
          <w:szCs w:val="21"/>
          <w:lang w:val="en-US" w:eastAsia="zh-CN"/>
        </w:rPr>
        <w:t>2</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OHSMS(</w:t>
      </w:r>
      <w:r>
        <w:rPr>
          <w:rFonts w:hint="eastAsia"/>
          <w:b/>
          <w:color w:val="000000" w:themeColor="text1"/>
          <w:szCs w:val="21"/>
          <w:lang w:val="en-US" w:eastAsia="zh-CN"/>
        </w:rPr>
        <w:t>2</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626745" cy="274320"/>
            <wp:effectExtent l="0" t="0" r="1905" b="1143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lang w:val="en-US" w:eastAsia="zh-CN"/>
        </w:rPr>
        <w:t xml:space="preserve">2020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26</w:t>
      </w:r>
      <w:r>
        <w:rPr>
          <w:rFonts w:hint="eastAsia" w:asciiTheme="minorEastAsia" w:hAnsiTheme="minorEastAsia" w:eastAsiaTheme="minorEastAsia"/>
          <w:b/>
          <w:color w:val="000000" w:themeColor="text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28608"/>
    <w:multiLevelType w:val="singleLevel"/>
    <w:tmpl w:val="9D628608"/>
    <w:lvl w:ilvl="0" w:tentative="0">
      <w:start w:val="3"/>
      <w:numFmt w:val="decimal"/>
      <w:lvlText w:val="%1."/>
      <w:lvlJc w:val="left"/>
      <w:pPr>
        <w:tabs>
          <w:tab w:val="left" w:pos="312"/>
        </w:tabs>
      </w:pPr>
    </w:lvl>
  </w:abstractNum>
  <w:abstractNum w:abstractNumId="1">
    <w:nsid w:val="FD930BE0"/>
    <w:multiLevelType w:val="singleLevel"/>
    <w:tmpl w:val="FD930BE0"/>
    <w:lvl w:ilvl="0" w:tentative="0">
      <w:start w:val="5"/>
      <w:numFmt w:val="decimal"/>
      <w:suff w:val="space"/>
      <w:lvlText w:val="%1."/>
      <w:lvlJc w:val="left"/>
    </w:lvl>
  </w:abstractNum>
  <w:abstractNum w:abstractNumId="2">
    <w:nsid w:val="09781396"/>
    <w:multiLevelType w:val="singleLevel"/>
    <w:tmpl w:val="09781396"/>
    <w:lvl w:ilvl="0" w:tentative="0">
      <w:start w:val="2"/>
      <w:numFmt w:val="decimal"/>
      <w:suff w:val="nothing"/>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9D08C2"/>
    <w:rsid w:val="0486642B"/>
    <w:rsid w:val="05D644B7"/>
    <w:rsid w:val="0AC825C2"/>
    <w:rsid w:val="0D4345CA"/>
    <w:rsid w:val="0FD55742"/>
    <w:rsid w:val="0FD96E06"/>
    <w:rsid w:val="10C8756B"/>
    <w:rsid w:val="1474422F"/>
    <w:rsid w:val="14C06F3D"/>
    <w:rsid w:val="1A28107B"/>
    <w:rsid w:val="23103BF5"/>
    <w:rsid w:val="26E417D3"/>
    <w:rsid w:val="29996AA2"/>
    <w:rsid w:val="29DC7164"/>
    <w:rsid w:val="2A6159DC"/>
    <w:rsid w:val="30D04C21"/>
    <w:rsid w:val="377E34C7"/>
    <w:rsid w:val="37C7504E"/>
    <w:rsid w:val="389B1BAA"/>
    <w:rsid w:val="3B3C1228"/>
    <w:rsid w:val="3E994EE1"/>
    <w:rsid w:val="411C1247"/>
    <w:rsid w:val="41F85488"/>
    <w:rsid w:val="437E31D4"/>
    <w:rsid w:val="442E2A34"/>
    <w:rsid w:val="450E2A52"/>
    <w:rsid w:val="453C223C"/>
    <w:rsid w:val="45535284"/>
    <w:rsid w:val="4B3A2C36"/>
    <w:rsid w:val="4C2729FF"/>
    <w:rsid w:val="53912000"/>
    <w:rsid w:val="5BD43176"/>
    <w:rsid w:val="5EEC39C8"/>
    <w:rsid w:val="63D82E76"/>
    <w:rsid w:val="6677400D"/>
    <w:rsid w:val="668B621B"/>
    <w:rsid w:val="6CC95864"/>
    <w:rsid w:val="6DC47B54"/>
    <w:rsid w:val="6DD925FA"/>
    <w:rsid w:val="6EC71479"/>
    <w:rsid w:val="70E43F06"/>
    <w:rsid w:val="71916E68"/>
    <w:rsid w:val="72820617"/>
    <w:rsid w:val="7B81576E"/>
    <w:rsid w:val="7C701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sz w:val="21"/>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2020-08-27T03:00:00Z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