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0"/>
        <w:gridCol w:w="1290"/>
        <w:gridCol w:w="1505"/>
        <w:gridCol w:w="1047"/>
        <w:gridCol w:w="20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中迅商旅（北京）投资有限公司</w:t>
            </w:r>
            <w:bookmarkEnd w:id="3"/>
          </w:p>
        </w:tc>
        <w:tc>
          <w:tcPr>
            <w:tcW w:w="1047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052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Q：29.12.00;30.05.00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E：29.12.00;30.05.00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O：29.12.00;30.05.00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Q：30.05.00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E：30.05.00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O：30.05.00</w:t>
            </w:r>
          </w:p>
        </w:tc>
        <w:tc>
          <w:tcPr>
            <w:tcW w:w="1047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052" w:type="dxa"/>
            <w:vMerge w:val="restart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王志慧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Q：29.12.00;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E：29.12.00;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O：29.12.00;</w:t>
            </w:r>
          </w:p>
        </w:tc>
        <w:tc>
          <w:tcPr>
            <w:tcW w:w="1047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2052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张鹏</w:t>
            </w:r>
            <w:r>
              <w:rPr>
                <w:rFonts w:hint="eastAsia"/>
                <w:b/>
                <w:sz w:val="20"/>
                <w:lang w:eastAsia="zh-CN"/>
              </w:rPr>
              <w:t>、王志慧、曲丽娜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餐饮管理：客户接触----合同评审----签订合同----餐饮管理（餐前餐后卫生监督、保洁监督、个人卫生监督、餐厅管理）-----客户评价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日用品的销售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：</w:t>
            </w:r>
          </w:p>
          <w:p>
            <w:pPr>
              <w:pStyle w:val="2"/>
              <w:rPr>
                <w:rFonts w:hint="eastAsia" w:ascii="Times New Roman" w:hAnsi="Times New Roman" w:cs="Times New Roman"/>
                <w:szCs w:val="22"/>
              </w:rPr>
            </w:pPr>
            <w:r>
              <w:rPr>
                <w:rFonts w:hint="eastAsia" w:ascii="Times New Roman" w:hAnsi="Times New Roman" w:cs="Times New Roman"/>
                <w:szCs w:val="22"/>
              </w:rPr>
              <w:t xml:space="preserve">客户接触----合同评审----签订合同-----客户付款------入帐------采购-----客户提货-----验收 </w:t>
            </w:r>
          </w:p>
          <w:p>
            <w:pPr>
              <w:pStyle w:val="2"/>
              <w:numPr>
                <w:ilvl w:val="0"/>
                <w:numId w:val="0"/>
              </w:numPr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 w:eastAsia="zh-CN"/>
              </w:rPr>
              <w:t>需确认过程：销售服务过程，有确认记录，见销售部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Q8.5.1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Cs/>
                <w:spacing w:val="10"/>
                <w:sz w:val="21"/>
              </w:rPr>
            </w:pPr>
            <w:r>
              <w:rPr>
                <w:rFonts w:hint="eastAsia"/>
                <w:bCs/>
                <w:spacing w:val="10"/>
                <w:sz w:val="21"/>
              </w:rPr>
              <w:t>风险：来自市场的风险，加强公司内部人员的基础素质，提高专业技能、对于公司内部的机密信息不能外泄，保护好公司的内部人员，防止公司内部人员的流失。</w:t>
            </w:r>
          </w:p>
          <w:p>
            <w:pPr>
              <w:pStyle w:val="10"/>
              <w:ind w:firstLine="0" w:firstLineChars="0"/>
              <w:rPr>
                <w:rFonts w:ascii="Times New Roman" w:hAnsi="Times New Roman" w:eastAsia="宋体" w:cs="Times New Roman"/>
                <w:bCs/>
                <w:spacing w:val="1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szCs w:val="20"/>
              </w:rPr>
              <w:t>控制措施：管理及市场风险的应对，加强公司团队的建设，争取公司的竞争力度，积极开拓市场业务，必要时增加公司的资质，例如进行管理体系的认证。</w:t>
            </w:r>
          </w:p>
          <w:p>
            <w:pPr>
              <w:pStyle w:val="10"/>
              <w:ind w:firstLine="0" w:firstLineChars="0"/>
              <w:rPr>
                <w:rFonts w:ascii="Times New Roman" w:hAnsi="Times New Roman" w:eastAsia="宋体" w:cs="Times New Roman"/>
                <w:bCs/>
                <w:spacing w:val="1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szCs w:val="20"/>
              </w:rPr>
              <w:t>详见Q8.5.1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bCs/>
                <w:spacing w:val="10"/>
                <w:sz w:val="21"/>
              </w:rPr>
            </w:pPr>
            <w:r>
              <w:rPr>
                <w:rFonts w:hint="eastAsia"/>
                <w:bCs/>
                <w:spacing w:val="10"/>
                <w:sz w:val="21"/>
              </w:rPr>
              <w:t>综合部编制了《环境因素识别与评价控制程序》，提供了公司的环境因素识别与评价清单，共识别出环境因素</w:t>
            </w:r>
            <w:r>
              <w:rPr>
                <w:bCs/>
                <w:spacing w:val="10"/>
                <w:sz w:val="21"/>
              </w:rPr>
              <w:t>31</w:t>
            </w:r>
            <w:r>
              <w:rPr>
                <w:rFonts w:hint="eastAsia"/>
                <w:bCs/>
                <w:spacing w:val="10"/>
                <w:sz w:val="21"/>
              </w:rPr>
              <w:t>条，包括电消耗、电磁辐射等，其中两条环境因素被评为重要环境因素。其余评价结果均为一般环境因素。</w:t>
            </w:r>
          </w:p>
          <w:p>
            <w:pPr>
              <w:snapToGrid w:val="0"/>
              <w:spacing w:line="280" w:lineRule="exact"/>
              <w:jc w:val="left"/>
              <w:rPr>
                <w:bCs/>
                <w:spacing w:val="10"/>
                <w:sz w:val="21"/>
              </w:rPr>
            </w:pPr>
            <w:r>
              <w:rPr>
                <w:rFonts w:hint="eastAsia"/>
                <w:bCs/>
                <w:spacing w:val="10"/>
                <w:sz w:val="21"/>
              </w:rPr>
              <w:t>综合部提供了“重要环境因素清单”</w:t>
            </w:r>
          </w:p>
          <w:p>
            <w:pPr>
              <w:snapToGrid w:val="0"/>
              <w:spacing w:line="280" w:lineRule="exact"/>
              <w:jc w:val="left"/>
              <w:rPr>
                <w:bCs/>
                <w:spacing w:val="10"/>
                <w:sz w:val="21"/>
              </w:rPr>
            </w:pPr>
            <w:r>
              <w:rPr>
                <w:rFonts w:hint="eastAsia"/>
                <w:bCs/>
                <w:spacing w:val="10"/>
                <w:sz w:val="21"/>
              </w:rPr>
              <w:t>1. 潜在火灾事故发生</w:t>
            </w:r>
          </w:p>
          <w:p>
            <w:pPr>
              <w:snapToGrid w:val="0"/>
              <w:spacing w:line="280" w:lineRule="exact"/>
              <w:jc w:val="left"/>
              <w:rPr>
                <w:bCs/>
                <w:spacing w:val="10"/>
                <w:sz w:val="21"/>
              </w:rPr>
            </w:pPr>
            <w:r>
              <w:rPr>
                <w:rFonts w:hint="eastAsia"/>
                <w:bCs/>
                <w:spacing w:val="10"/>
                <w:sz w:val="21"/>
              </w:rPr>
              <w:t>2. 固体废弃物处理</w:t>
            </w:r>
          </w:p>
          <w:p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bCs/>
                <w:spacing w:val="10"/>
                <w:sz w:val="21"/>
              </w:rPr>
              <w:t>制定了相应的环境管理方案，对重要环境因素进行控制。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pStyle w:val="2"/>
            </w:pPr>
            <w:r>
              <w:rPr>
                <w:rFonts w:hint="eastAsia"/>
              </w:rPr>
              <w:t>综合部提供了公司的危险源辨识与评价表，共识别出危险源2</w:t>
            </w:r>
            <w:r>
              <w:t>2</w:t>
            </w:r>
            <w:r>
              <w:rPr>
                <w:rFonts w:hint="eastAsia"/>
              </w:rPr>
              <w:t>条，包括照明电气线路老化、接地、漏电失灵、超时劳动等。评价出</w:t>
            </w:r>
            <w:r>
              <w:t>2</w:t>
            </w:r>
            <w:r>
              <w:rPr>
                <w:rFonts w:hint="eastAsia"/>
              </w:rPr>
              <w:t>条为不可接受风险。</w:t>
            </w:r>
          </w:p>
          <w:p>
            <w:pPr>
              <w:pStyle w:val="2"/>
            </w:pPr>
            <w:r>
              <w:rPr>
                <w:rFonts w:hint="eastAsia"/>
              </w:rPr>
              <w:t>综合部提供了“不可接受风险清单”</w:t>
            </w:r>
          </w:p>
          <w:p>
            <w:pPr>
              <w:pStyle w:val="2"/>
              <w:rPr>
                <w:bCs w:val="0"/>
              </w:rPr>
            </w:pPr>
            <w:r>
              <w:rPr>
                <w:rFonts w:hint="eastAsia"/>
                <w:bCs w:val="0"/>
              </w:rPr>
              <w:t>1</w:t>
            </w:r>
            <w:r>
              <w:rPr>
                <w:bCs w:val="0"/>
              </w:rPr>
              <w:t>.</w:t>
            </w:r>
            <w:r>
              <w:rPr>
                <w:rFonts w:hint="eastAsia"/>
                <w:bCs w:val="0"/>
              </w:rPr>
              <w:t>潜在火灾、爆炸</w:t>
            </w:r>
          </w:p>
          <w:p>
            <w:pPr>
              <w:pStyle w:val="2"/>
              <w:rPr>
                <w:bCs w:val="0"/>
              </w:rPr>
            </w:pPr>
            <w:r>
              <w:rPr>
                <w:rFonts w:hint="eastAsia"/>
                <w:bCs w:val="0"/>
              </w:rPr>
              <w:t>2</w:t>
            </w:r>
            <w:r>
              <w:rPr>
                <w:bCs w:val="0"/>
              </w:rPr>
              <w:t>.</w:t>
            </w:r>
            <w:r>
              <w:rPr>
                <w:rFonts w:hint="eastAsia"/>
                <w:bCs w:val="0"/>
              </w:rPr>
              <w:t>触电</w:t>
            </w:r>
          </w:p>
          <w:p>
            <w:pPr>
              <w:pStyle w:val="2"/>
              <w:rPr>
                <w:sz w:val="20"/>
              </w:rPr>
            </w:pPr>
            <w:r>
              <w:rPr>
                <w:rFonts w:hint="eastAsia"/>
              </w:rPr>
              <w:t>制定了相应的职业健康安全管理方案，对重要目标进行管理和控制。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环境相关法律法规：中华人民共和国环境保护法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中华人民共和国固体废物污染环境防治法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中华人民共和国大气污染防治法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中华人民共和国水污染防治法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中华人民共和国环境影响评价法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中华人民共和国环境噪声污染防治法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城市生活垃圾管理办法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中华人民共和国可再生能源法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中华人民共和国节约能源法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北京市环境噪声污染防治办法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北京市水污染防治条例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北京市城市节约用水条例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北京市消防条例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北京市大气污染防治条例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北京市生活垃圾管理条例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北京市市容环境卫生条例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北京市控制吸烟条例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职业健康安全相关法律法规：中华人民共和国劳动法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中华人民共和国消防法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中华人民共和国职业病防治法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中华人民共和国劳动合同法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中华人民共和国妇女权益保障法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中华人民共和国传染病防治法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中华人民共和国突发事件应对法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中华人民共和国未成年人保护法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中华人民共和国道路交通安全法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中华人民共和国工会法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中华人民共和国社会保险法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中华人民共和国劳动合同法实施条例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突发公共卫生事件应急条例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女职工劳动保护规定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工伤保险条例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作业场所职业健康管理暂行规定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用人单位劳动防护用品管理规范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女职工禁忌劳动范围的规定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消防安全标志设置要求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职业健康检查管理办法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消防安全标志 第1部分：标志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中华人民共和国食品安全法</w:t>
            </w:r>
            <w:r>
              <w:rPr>
                <w:rFonts w:ascii="宋体" w:hAnsi="宋体"/>
                <w:szCs w:val="21"/>
              </w:rPr>
              <w:t>》、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《</w:t>
            </w:r>
            <w:r>
              <w:rPr>
                <w:rFonts w:hint="eastAsia" w:ascii="宋体" w:hAnsi="宋体"/>
                <w:szCs w:val="21"/>
              </w:rPr>
              <w:t>餐饮服务食品安全监督管理办法</w:t>
            </w:r>
            <w:r>
              <w:rPr>
                <w:rFonts w:ascii="宋体" w:hAnsi="宋体"/>
                <w:szCs w:val="21"/>
              </w:rPr>
              <w:t>》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产品标准：《GB 2762-2017 食品安全国家标准 食品中污染物限量》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《餐饮服务食品安全操作规范》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企业严格按照法律法规和产品标准要求执行工作，定期进行应急演练，配备消防器材，未有违规现象发生。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</w:tr>
    </w:tbl>
    <w:p>
      <w:pPr>
        <w:snapToGrid w:val="0"/>
        <w:rPr>
          <w:rFonts w:hint="eastAsia" w:ascii="宋体" w:hAnsi="Times New Roman" w:cs="Times New Roman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 w:hAnsi="Times New Roman" w:cs="Times New Roman"/>
          <w:b/>
          <w:sz w:val="22"/>
          <w:szCs w:val="22"/>
        </w:rPr>
        <w:t>填表人(专业人员)：张艳</w:t>
      </w:r>
      <w:r>
        <w:rPr>
          <w:rFonts w:hint="eastAsia" w:ascii="宋体" w:hAnsi="Times New Roman" w:cs="Times New Roman"/>
          <w:b/>
          <w:sz w:val="22"/>
          <w:szCs w:val="22"/>
          <w:lang w:eastAsia="zh-CN"/>
        </w:rPr>
        <w:t>、王志慧</w:t>
      </w:r>
      <w:r>
        <w:rPr>
          <w:rFonts w:hint="eastAsia" w:ascii="宋体" w:hAnsi="Times New Roman" w:cs="Times New Roman"/>
          <w:b/>
          <w:sz w:val="22"/>
          <w:szCs w:val="22"/>
        </w:rPr>
        <w:t xml:space="preserve">               审核组长： </w:t>
      </w:r>
      <w:r>
        <w:rPr>
          <w:rFonts w:hint="eastAsia" w:ascii="宋体" w:hAnsi="Times New Roman" w:cs="Times New Roman"/>
          <w:b/>
          <w:sz w:val="22"/>
          <w:szCs w:val="22"/>
          <w:lang w:eastAsia="zh-CN"/>
        </w:rPr>
        <w:t>王志慧</w:t>
      </w:r>
      <w:r>
        <w:rPr>
          <w:rFonts w:hint="eastAsia" w:ascii="宋体" w:hAnsi="Times New Roman" w:cs="Times New Roman"/>
          <w:b/>
          <w:sz w:val="22"/>
          <w:szCs w:val="22"/>
        </w:rPr>
        <w:t xml:space="preserve">     </w:t>
      </w:r>
      <w:r>
        <w:rPr>
          <w:rFonts w:hint="eastAsia" w:ascii="宋体"/>
          <w:b/>
          <w:sz w:val="18"/>
          <w:szCs w:val="18"/>
        </w:rPr>
        <w:t xml:space="preserve">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>2020.8.19</w:t>
      </w:r>
      <w:r>
        <w:rPr>
          <w:rFonts w:hint="eastAsia" w:ascii="宋体"/>
          <w:b/>
          <w:sz w:val="22"/>
          <w:szCs w:val="22"/>
        </w:rPr>
        <w:t xml:space="preserve">   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5" w:name="_GoBack"/>
      <w:bookmarkEnd w:id="5"/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3073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3074" o:spid="_x0000_s3074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48D1"/>
    <w:rsid w:val="003B7B44"/>
    <w:rsid w:val="006A0956"/>
    <w:rsid w:val="0090497A"/>
    <w:rsid w:val="00CD48D1"/>
    <w:rsid w:val="00D6493B"/>
    <w:rsid w:val="00E65CD0"/>
    <w:rsid w:val="00F54D23"/>
    <w:rsid w:val="172D50BC"/>
    <w:rsid w:val="246D0922"/>
    <w:rsid w:val="3C0075BA"/>
    <w:rsid w:val="40483337"/>
    <w:rsid w:val="5F1E59D6"/>
    <w:rsid w:val="69D37861"/>
    <w:rsid w:val="718263DF"/>
    <w:rsid w:val="7DA320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  <w:sz w:val="21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238</Words>
  <Characters>1360</Characters>
  <Lines>11</Lines>
  <Paragraphs>3</Paragraphs>
  <TotalTime>0</TotalTime>
  <ScaleCrop>false</ScaleCrop>
  <LinksUpToDate>false</LinksUpToDate>
  <CharactersWithSpaces>1595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Joyce</cp:lastModifiedBy>
  <dcterms:modified xsi:type="dcterms:W3CDTF">2020-08-26T13:36:31Z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