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rPr>
        <w:t>不 符 合 项 报 告</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1#</w:t>
      </w:r>
      <w:r>
        <w:rPr>
          <w:rFonts w:hint="eastAsia" w:asciiTheme="majorEastAsia" w:hAnsiTheme="majorEastAsia" w:eastAsiaTheme="majorEastAsia" w:cstheme="majorEastAsia"/>
          <w:sz w:val="30"/>
          <w:szCs w:val="30"/>
          <w:lang w:eastAsia="zh-CN"/>
        </w:rPr>
        <w:t>）</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hint="default" w:ascii="Arial" w:hAnsi="Arial" w:eastAsia="宋体" w:cs="Arial"/>
                <w:b/>
                <w:sz w:val="30"/>
                <w:szCs w:val="30"/>
                <w:lang w:val="en-US" w:eastAsia="zh-CN"/>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r>
              <w:rPr>
                <w:rFonts w:hint="eastAsia"/>
                <w:b/>
                <w:spacing w:val="-2"/>
                <w:szCs w:val="21"/>
                <w:lang w:val="en-US" w:eastAsia="zh-CN"/>
              </w:rPr>
              <w:t xml:space="preserve">  </w:t>
            </w:r>
            <w:r>
              <w:rPr>
                <w:rFonts w:hint="eastAsia"/>
                <w:b/>
                <w:szCs w:val="21"/>
                <w:lang w:eastAsia="zh-CN"/>
              </w:rPr>
              <w:t>☑</w:t>
            </w:r>
            <w:r>
              <w:rPr>
                <w:rFonts w:hint="eastAsia"/>
                <w:b/>
                <w:spacing w:val="-2"/>
                <w:szCs w:val="21"/>
                <w:lang w:val="en-US" w:eastAsia="zh-CN"/>
              </w:rPr>
              <w:t>FS</w:t>
            </w:r>
            <w:r>
              <w:rPr>
                <w:b/>
                <w:spacing w:val="-2"/>
                <w:szCs w:val="21"/>
              </w:rPr>
              <w:t>MS</w:t>
            </w:r>
            <w:r>
              <w:rPr>
                <w:rFonts w:hint="eastAsia"/>
                <w:b/>
                <w:spacing w:val="-2"/>
                <w:szCs w:val="21"/>
              </w:rPr>
              <w:t>　　</w:t>
            </w:r>
            <w:r>
              <w:rPr>
                <w:rFonts w:hint="eastAsia"/>
                <w:b/>
                <w:szCs w:val="21"/>
              </w:rPr>
              <w:t>□</w:t>
            </w:r>
            <w:r>
              <w:rPr>
                <w:rFonts w:hint="eastAsia"/>
                <w:b/>
                <w:spacing w:val="-2"/>
                <w:szCs w:val="21"/>
                <w:lang w:val="en-US" w:eastAsia="zh-CN"/>
              </w:rPr>
              <w:t>HACCP</w:t>
            </w:r>
            <w:r>
              <w:rPr>
                <w:rFonts w:hint="eastAsia"/>
                <w:b/>
                <w:spacing w:val="-2"/>
                <w:szCs w:val="21"/>
              </w:rPr>
              <w:t>　</w:t>
            </w:r>
          </w:p>
          <w:p>
            <w:pPr>
              <w:spacing w:line="360" w:lineRule="exact"/>
              <w:rPr>
                <w:rFonts w:ascii="方正仿宋简体"/>
                <w:b/>
              </w:rPr>
            </w:pPr>
            <w:bookmarkStart w:id="3" w:name="审核类型ZB"/>
            <w:r>
              <w:rPr>
                <w:rFonts w:hint="eastAsia"/>
                <w:b/>
                <w:szCs w:val="21"/>
              </w:rPr>
              <w:t>食品安全管理体系：初次认证第（二）阶段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习水县丰田粮油购销有限公司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销售部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高翔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无证据表明该企业对负责运输粮食的外包方进行了食品安全方面的管理。</w:t>
            </w:r>
          </w:p>
          <w:p>
            <w:pPr>
              <w:spacing w:before="120" w:line="160" w:lineRule="exact"/>
              <w:rPr>
                <w:rFonts w:ascii="方正仿宋简体" w:eastAsia="方正仿宋简体"/>
                <w:b/>
              </w:rPr>
            </w:pPr>
          </w:p>
          <w:p>
            <w:pPr>
              <w:spacing w:before="120" w:line="160" w:lineRule="exact"/>
              <w:rPr>
                <w:rFonts w:ascii="方正仿宋简体" w:eastAsia="方正仿宋简体"/>
                <w:b/>
              </w:rPr>
            </w:pPr>
            <w:bookmarkStart w:id="5" w:name="_GoBack"/>
            <w:bookmarkEnd w:id="5"/>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hint="eastAsia" w:ascii="宋体" w:hAnsi="宋体"/>
                <w:b/>
                <w:sz w:val="22"/>
                <w:szCs w:val="22"/>
              </w:rPr>
            </w:pPr>
            <w:r>
              <w:rPr>
                <w:rFonts w:hint="eastAsia" w:ascii="宋体" w:hAnsi="宋体"/>
                <w:b/>
                <w:sz w:val="22"/>
                <w:szCs w:val="22"/>
              </w:rPr>
              <w:t>□ ISO45001：2018标准  条款相关要求</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w:t>
            </w:r>
            <w:r>
              <w:rPr>
                <w:rFonts w:hint="eastAsia" w:ascii="宋体" w:hAnsi="宋体"/>
                <w:b/>
                <w:sz w:val="22"/>
                <w:szCs w:val="22"/>
                <w:lang w:val="en-US" w:eastAsia="zh-CN"/>
              </w:rPr>
              <w:t>2</w:t>
            </w:r>
            <w:r>
              <w:rPr>
                <w:rFonts w:hint="eastAsia" w:ascii="宋体" w:hAnsi="宋体"/>
                <w:b/>
                <w:sz w:val="22"/>
                <w:szCs w:val="22"/>
              </w:rPr>
              <w:t>00</w:t>
            </w:r>
            <w:r>
              <w:rPr>
                <w:rFonts w:hint="eastAsia" w:ascii="宋体" w:hAnsi="宋体"/>
                <w:b/>
                <w:sz w:val="22"/>
                <w:szCs w:val="22"/>
                <w:lang w:val="en-US" w:eastAsia="zh-CN"/>
              </w:rPr>
              <w:t>0</w:t>
            </w:r>
            <w:r>
              <w:rPr>
                <w:rFonts w:hint="eastAsia" w:ascii="宋体" w:hAnsi="宋体"/>
                <w:b/>
                <w:sz w:val="22"/>
                <w:szCs w:val="22"/>
              </w:rPr>
              <w:t>-20</w:t>
            </w:r>
            <w:r>
              <w:rPr>
                <w:rFonts w:hint="eastAsia" w:ascii="宋体" w:hAnsi="宋体"/>
                <w:b/>
                <w:sz w:val="22"/>
                <w:szCs w:val="22"/>
                <w:lang w:val="en-US" w:eastAsia="zh-CN"/>
              </w:rPr>
              <w:t>06</w:t>
            </w:r>
            <w:r>
              <w:rPr>
                <w:rFonts w:hint="eastAsia" w:ascii="宋体" w:hAnsi="宋体"/>
                <w:b/>
                <w:sz w:val="22"/>
                <w:szCs w:val="22"/>
              </w:rPr>
              <w:t xml:space="preserve"> idt </w:t>
            </w:r>
            <w:r>
              <w:rPr>
                <w:rFonts w:hint="eastAsia" w:ascii="宋体" w:hAnsi="宋体"/>
                <w:b/>
                <w:sz w:val="22"/>
                <w:szCs w:val="22"/>
                <w:lang w:val="en-US" w:eastAsia="zh-CN"/>
              </w:rPr>
              <w:t>ISO22000</w:t>
            </w:r>
            <w:r>
              <w:rPr>
                <w:rFonts w:hint="eastAsia" w:ascii="宋体" w:hAnsi="宋体"/>
                <w:b/>
                <w:sz w:val="22"/>
                <w:szCs w:val="22"/>
              </w:rPr>
              <w:t>:200</w:t>
            </w:r>
            <w:r>
              <w:rPr>
                <w:rFonts w:hint="eastAsia" w:ascii="宋体" w:hAnsi="宋体"/>
                <w:b/>
                <w:sz w:val="22"/>
                <w:szCs w:val="22"/>
                <w:lang w:val="en-US" w:eastAsia="zh-CN"/>
              </w:rPr>
              <w:t>5</w:t>
            </w:r>
            <w:r>
              <w:rPr>
                <w:rFonts w:hint="eastAsia" w:ascii="宋体" w:hAnsi="宋体"/>
                <w:b/>
                <w:sz w:val="22"/>
                <w:szCs w:val="22"/>
              </w:rPr>
              <w:t>标准</w:t>
            </w:r>
            <w:r>
              <w:rPr>
                <w:rFonts w:hint="eastAsia" w:ascii="宋体" w:hAnsi="宋体"/>
                <w:b/>
                <w:sz w:val="22"/>
                <w:szCs w:val="22"/>
                <w:lang w:val="en-US" w:eastAsia="zh-CN"/>
              </w:rPr>
              <w:t>7.2.3</w:t>
            </w:r>
            <w:r>
              <w:rPr>
                <w:rFonts w:hint="eastAsia" w:ascii="宋体" w:hAnsi="宋体"/>
                <w:b/>
                <w:sz w:val="22"/>
                <w:szCs w:val="22"/>
              </w:rPr>
              <w:t>条款</w:t>
            </w:r>
          </w:p>
          <w:p>
            <w:pPr>
              <w:tabs>
                <w:tab w:val="left" w:pos="4300"/>
              </w:tabs>
              <w:snapToGrid w:val="0"/>
              <w:spacing w:line="280" w:lineRule="exact"/>
              <w:ind w:firstLine="1767" w:firstLineChars="800"/>
              <w:rPr>
                <w:rFonts w:ascii="宋体" w:hAnsi="宋体"/>
                <w:b/>
                <w:sz w:val="22"/>
                <w:szCs w:val="22"/>
              </w:rPr>
            </w:pP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w:t>
            </w:r>
            <w:r>
              <w:rPr>
                <w:rFonts w:ascii="宋体" w:hAnsi="宋体" w:cs="宋体"/>
                <w:kern w:val="0"/>
                <w:szCs w:val="21"/>
              </w:rPr>
              <w:drawing>
                <wp:inline distT="0" distB="0" distL="114300" distR="114300">
                  <wp:extent cx="839470" cy="510540"/>
                  <wp:effectExtent l="0" t="0" r="1397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839470" cy="510540"/>
                          </a:xfrm>
                          <a:prstGeom prst="rect">
                            <a:avLst/>
                          </a:prstGeom>
                          <a:noFill/>
                          <a:ln>
                            <a:noFill/>
                          </a:ln>
                        </pic:spPr>
                      </pic:pic>
                    </a:graphicData>
                  </a:graphic>
                </wp:inline>
              </w:drawing>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日  期：                     日    期：</w:t>
            </w:r>
            <w:r>
              <w:rPr>
                <w:rFonts w:hint="eastAsia" w:ascii="方正仿宋简体" w:eastAsia="方正仿宋简体"/>
                <w:b/>
                <w:sz w:val="24"/>
                <w:lang w:val="en-US" w:eastAsia="zh-CN"/>
              </w:rPr>
              <w:t>2020-8-22</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 xml:space="preserve">  该企业已完善了外包方管理机制，建立了《运输合同》并与外包方签订；组织有关人员进行了培训，不符合项可以关闭。</w:t>
            </w: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附件：培训记录；运输合同</w:t>
            </w: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 xml:space="preserve">  </w:t>
            </w:r>
          </w:p>
          <w:p>
            <w:pPr>
              <w:spacing w:before="120" w:line="360" w:lineRule="auto"/>
              <w:rPr>
                <w:rFonts w:hint="eastAsia" w:ascii="方正仿宋简体" w:eastAsia="方正仿宋简体"/>
                <w:b/>
              </w:rPr>
            </w:pPr>
            <w:r>
              <w:rPr>
                <w:rFonts w:hint="eastAsia" w:ascii="方正仿宋简体" w:eastAsia="方正仿宋简体"/>
                <w:b/>
              </w:rPr>
              <w:t xml:space="preserve">                                                审核员：</w:t>
            </w:r>
            <w:r>
              <w:rPr>
                <w:rFonts w:ascii="宋体" w:hAnsi="宋体" w:cs="宋体"/>
                <w:kern w:val="0"/>
                <w:szCs w:val="21"/>
              </w:rPr>
              <w:drawing>
                <wp:inline distT="0" distB="0" distL="114300" distR="114300">
                  <wp:extent cx="839470" cy="510540"/>
                  <wp:effectExtent l="0" t="0" r="1397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839470" cy="510540"/>
                          </a:xfrm>
                          <a:prstGeom prst="rect">
                            <a:avLst/>
                          </a:prstGeom>
                          <a:noFill/>
                          <a:ln>
                            <a:noFill/>
                          </a:ln>
                        </pic:spPr>
                      </pic:pic>
                    </a:graphicData>
                  </a:graphic>
                </wp:inline>
              </w:drawing>
            </w:r>
            <w:r>
              <w:rPr>
                <w:rFonts w:hint="eastAsia" w:ascii="方正仿宋简体" w:eastAsia="方正仿宋简体"/>
                <w:b/>
              </w:rPr>
              <w:t xml:space="preserve">       </w:t>
            </w:r>
          </w:p>
          <w:p>
            <w:pPr>
              <w:spacing w:before="120" w:line="360" w:lineRule="auto"/>
              <w:ind w:firstLine="5271" w:firstLineChars="2500"/>
              <w:rPr>
                <w:rFonts w:ascii="方正仿宋简体" w:eastAsia="方正仿宋简体"/>
                <w:b/>
              </w:rPr>
            </w:pPr>
            <w:r>
              <w:rPr>
                <w:rFonts w:hint="eastAsia" w:ascii="方正仿宋简体" w:eastAsia="方正仿宋简体"/>
                <w:b/>
              </w:rPr>
              <w:t>日期：</w:t>
            </w:r>
            <w:r>
              <w:rPr>
                <w:rFonts w:hint="eastAsia" w:ascii="方正仿宋简体" w:eastAsia="方正仿宋简体"/>
                <w:b/>
                <w:lang w:val="en-US" w:eastAsia="zh-CN"/>
              </w:rPr>
              <w:t>2020</w:t>
            </w:r>
            <w:r>
              <w:rPr>
                <w:rFonts w:hint="eastAsia" w:ascii="方正仿宋简体" w:eastAsia="方正仿宋简体"/>
                <w:b/>
              </w:rPr>
              <w:t xml:space="preserve"> </w:t>
            </w:r>
            <w:r>
              <w:rPr>
                <w:rFonts w:hint="eastAsia" w:ascii="方正仿宋简体" w:eastAsia="方正仿宋简体"/>
                <w:b/>
                <w:lang w:val="en-US" w:eastAsia="zh-CN"/>
              </w:rPr>
              <w:t>-08-24</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验证人：日期：</w:t>
            </w:r>
          </w:p>
        </w:tc>
      </w:tr>
    </w:tbl>
    <w:p>
      <w:pPr>
        <w:rPr>
          <w:rFonts w:eastAsia="方正仿宋简体"/>
          <w:b/>
        </w:rPr>
      </w:pPr>
      <w:r>
        <w:rPr>
          <w:rFonts w:hint="eastAsia" w:eastAsia="方正仿宋简体"/>
          <w:b/>
        </w:rPr>
        <w:t>受审核方代表：日期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4666D5"/>
    <w:rsid w:val="17E5122E"/>
    <w:rsid w:val="1C4D3216"/>
    <w:rsid w:val="3B1C4386"/>
    <w:rsid w:val="45936AC3"/>
    <w:rsid w:val="4B6F35E4"/>
    <w:rsid w:val="69544D2E"/>
    <w:rsid w:val="74A63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15</TotalTime>
  <ScaleCrop>false</ScaleCrop>
  <LinksUpToDate>false</LinksUpToDate>
  <CharactersWithSpaces>687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和为贵</cp:lastModifiedBy>
  <cp:lastPrinted>2019-05-13T03:02:00Z</cp:lastPrinted>
  <dcterms:modified xsi:type="dcterms:W3CDTF">2020-08-22T09:25:02Z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