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领导层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余远海       </w:t>
            </w:r>
            <w:r>
              <w:rPr>
                <w:rFonts w:hint="eastAsia"/>
                <w:color w:val="000000"/>
                <w:sz w:val="24"/>
                <w:szCs w:val="24"/>
              </w:rPr>
              <w:t>/陪同人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员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高翔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张静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2020-08-19~20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91520330692710176P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u w:val="single"/>
              </w:rPr>
              <w:t>粮油购销;预包装食品销售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预包装食品（高粱/玉米/小麦/大米/糯米/食用油）的销售（配送和贮藏）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：JY15203300044756(1-1)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2022-08-28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预包装食品（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不含冷藏冷冻食品</w:t>
            </w:r>
            <w:r>
              <w:rPr>
                <w:rFonts w:hint="eastAsia"/>
                <w:color w:val="000000"/>
                <w:szCs w:val="21"/>
                <w:u w:val="single"/>
              </w:rPr>
              <w:t>）的销售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贵州省遵义市习水县九龙街道府西路103号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贵州省遵义市习水县九龙街道府西路103号</w:t>
            </w:r>
          </w:p>
          <w:p>
            <w:pPr>
              <w:ind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贵州省遵义市习水县民化镇三元村街上组（仓库）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贵州省遵义市习水县民化镇三元村街上组（仓库）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cyan"/>
                <w:u w:val="single"/>
                <w:lang w:val="en-US" w:eastAsia="zh-CN"/>
              </w:rPr>
              <w:t>目前因季节原因，没有给习酒集团送货</w:t>
            </w:r>
            <w:r>
              <w:rPr>
                <w:color w:val="000000"/>
                <w:szCs w:val="21"/>
                <w:highlight w:val="cyan"/>
                <w:u w:val="single"/>
              </w:rPr>
              <w:t xml:space="preserve">      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8890</wp:posOffset>
                      </wp:positionV>
                      <wp:extent cx="6308090" cy="785495"/>
                      <wp:effectExtent l="5080" t="4445" r="11430" b="17780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08090" cy="785495"/>
                                <a:chOff x="4941" y="18876"/>
                                <a:chExt cx="9934" cy="1237"/>
                              </a:xfrm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入库</w:t>
                                    </w:r>
                                  </w:p>
                                  <w:p/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测量水分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收购粮食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验收水分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自选图形 120"/>
                              <wps:cNvCnPr/>
                              <wps:spPr>
                                <a:xfrm>
                                  <a:off x="6130" y="19848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" name="文本框 119"/>
                              <wps:cNvSpPr txBox="1"/>
                              <wps:spPr>
                                <a:xfrm>
                                  <a:off x="6720" y="19635"/>
                                  <a:ext cx="1701" cy="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运输（外包）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自选图形 118"/>
                              <wps:cNvCnPr/>
                              <wps:spPr>
                                <a:xfrm>
                                  <a:off x="8427" y="19826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文本框 117"/>
                              <wps:cNvSpPr txBox="1"/>
                              <wps:spPr>
                                <a:xfrm>
                                  <a:off x="9022" y="19655"/>
                                  <a:ext cx="1171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出库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75pt;margin-top:0.7pt;height:61.85pt;width:496.7pt;z-index:251658240;mso-width-relative:page;mso-height-relative:page;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OQmO4jYAAAACAEAAA8AAAAAAAAAAQAgAAAAIgAAAGRycy9kb3ducmV2LnhtbFBL&#10;AQIUABQAAAAIAIdO4kDEjb0UogQAAAkkAAAOAAAAAAAAAAEAIAAAACcBAABkcnMvZTJvRG9jLnht&#10;bFBLBQYAAAAABgAGAFkBAAA7CAAAAAA=&#10;">
                      <o:lock v:ext="edit" aspectratio="f"/>
                      <v:shape id="文本框 111" o:spid="_x0000_s1026" o:spt="202" type="#_x0000_t202" style="position:absolute;left:9119;top:18928;height:477;width:1272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入库</w:t>
                              </w:r>
                            </w:p>
                            <w:p/>
                          </w:txbxContent>
                        </v:textbox>
                      </v:shape>
                      <v:shape id="自选图形 110" o:spid="_x0000_s1026" o:spt="32" type="#_x0000_t32" style="position:absolute;left:10416;top:19139;height:0;width:60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108" o:spid="_x0000_s1026" o:spt="202" type="#_x0000_t202" style="position:absolute;left:11056;top:18916;height:477;width:1311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9" o:spid="_x0000_s1026" o:spt="32" type="#_x0000_t32" style="position:absolute;left:12403;top:19087;height:0;width:600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106" o:spid="_x0000_s1026" o:spt="202" type="#_x0000_t202" style="position:absolute;left:12998;top:18876;height:428;width:125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测量水分</w:t>
                              </w:r>
                            </w:p>
                          </w:txbxContent>
                        </v:textbox>
                      </v:shape>
                      <v:shape id="自选图形 107" o:spid="_x0000_s1026" o:spt="32" type="#_x0000_t32" style="position:absolute;left:14275;top:19107;height:0;width:600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112" o:spid="_x0000_s1026" o:spt="202" type="#_x0000_t202" style="position:absolute;left:4984;top:18944;height:498;width:1382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收购粮食</w:t>
                              </w:r>
                            </w:p>
                          </w:txbxContent>
                        </v:textbox>
                      </v:shape>
                      <v:shape id="自选图形 105" o:spid="_x0000_s1026" o:spt="32" type="#_x0000_t32" style="position:absolute;left:6366;top:19171;height:0;width:60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82" o:spid="_x0000_s1026" o:spt="202" type="#_x0000_t202" style="position:absolute;left:6997;top:18936;height:447;width:1442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验收水分</w:t>
                              </w:r>
                            </w:p>
                          </w:txbxContent>
                        </v:textbox>
                      </v:shape>
                      <v:shape id="自选图形 103" o:spid="_x0000_s1026" o:spt="32" type="#_x0000_t32" style="position:absolute;left:8484;top:19137;height:0;width:60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自选图形 120" o:spid="_x0000_s1026" o:spt="32" type="#_x0000_t32" style="position:absolute;left:6130;top:19848;height:0;width:60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119" o:spid="_x0000_s1026" o:spt="202" type="#_x0000_t202" style="position:absolute;left:6720;top:19635;height:437;width:1701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运输（外包）</w:t>
                              </w:r>
                            </w:p>
                          </w:txbxContent>
                        </v:textbox>
                      </v:shape>
                      <v:shape id="自选图形 118" o:spid="_x0000_s1026" o:spt="32" type="#_x0000_t32" style="position:absolute;left:8427;top:19826;height:0;width:60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文本框 117" o:spid="_x0000_s1026" o:spt="202" type="#_x0000_t202" style="position:absolute;left:9022;top:19655;height:428;width:1171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  <v:shape id="文本框 115" o:spid="_x0000_s1026" o:spt="202" type="#_x0000_t202" style="position:absolute;left:4941;top:19625;height:488;width:1171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出库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注：只有高粱和小麦需要抽检水分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FSMS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u w:val="none"/>
                <w:lang w:val="en-US" w:eastAsia="zh-CN"/>
              </w:rPr>
              <w:t>主要客户：习酒集团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粮油的运输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Cs w:val="18"/>
              </w:rPr>
              <w:t>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</w:rPr>
              <w:t>品质为本   系统管理    精益求精    满足顾客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1)杜绝重大的食品安全事故；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2)产品出厂一次检验合格率≥99%。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一次检验合格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数量/总出货量x100%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  <w:t>FSMS运行情况：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《食品生产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《食品经营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JY15203300044756(1-1)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2022 年 8  月  28 日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许可范围：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预包装食品（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不含冷藏冷冻食品</w:t>
            </w:r>
            <w:r>
              <w:rPr>
                <w:rFonts w:hint="eastAsia"/>
                <w:color w:val="000000"/>
                <w:szCs w:val="21"/>
                <w:u w:val="single"/>
              </w:rPr>
              <w:t>）的销售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企业相关法规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相关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CNCA专项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技术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规范1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CNCA/CTS 0013-2008A (CCAA 0021-2014)《 食品安全管理体系 运输和贮藏企业要求》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相关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CNCA专项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技术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规范2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生产（卫生）规范1：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GB 31621-2014 《食品安全国家标准 食品经营过程卫生规范》        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生产（卫生）规范2：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                   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产品执行的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GB 2716-2018《食品安全国家标准 植物油》；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产品执行的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GB 2715-2018《食品安全国家标准 粮食》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</w:rPr>
              <w:t>查看产品食品安全性检验的证据（报告）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报告号1：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2018-08AS080217（高粱）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2018-08-24  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报告号2：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ZARE2019032438（玉米）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2019-03-21  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报告号3：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（2020）NC字WS类第0012号（大米）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2019-02-23     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报告号4：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五食检（食）字（2020）第M0141号（糯米）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2020-03-11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highlight w:val="cyan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报告号5：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A2200021896101001C（小麦）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2020-02-23    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报告号6：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JLY20200317-8  （菜籽油）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2020-04-02     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highlight w:val="cyan"/>
                <w:shd w:val="clear" w:color="auto" w:fill="auto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充分识别委托加工等生产活动对食品安全的影响程度；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对委托方进行了有效的控制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对委托方的控制不足，说明：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食品安全危害识别的充分性和评估的合理性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不够合理，需要改进：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Cs w:val="18"/>
              </w:rPr>
              <w:t>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查看人流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、物流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、水流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、气流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的合理性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不够合理，需要改进：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查看PRP、OPRP和HACCP计划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的充分性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（仅限FSMS）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不足，需要改进：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查看GMP、SSOP和HACCP计划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的充分性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（仅限HACCP）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不足，需要改进：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了解食品安全的关键控制点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CCP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及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关键限值CL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的合理性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及支持性证据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不够合理，需要改进：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了解控制措施的确认、活动的验证和改进方案符合食品安全管理体系标准的要求;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符合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不符合，需要改进：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食品安全管理体系的文件安排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适合内部沟通和与相关供应商、顾客、利益相关方的沟通;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符合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不符合，需要改进：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了解员工的健康（证）的情况；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已办理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未办理，需要改进：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default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标识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的方法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标签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标牌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区域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编号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胸牌 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追溯计划和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演练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已演练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未演练，需要改进：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了解产品顾客投诉处理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未发生过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投诉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发生过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投诉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产品召回/撤回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的状况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未发生过召回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发生过召回，说明：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未进行召回应急演练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进行召回应急演练，说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2020-06-27 大米霉变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了解应急准备和响应情况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未发生过紧急事件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发生过紧急事件，说明：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未进行应急演练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进行应急演练，说明：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2020-05-19火灾演练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了解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食品欺诈预防的控制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情况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（仅限HACCP）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已制订相关制度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未进行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年度评审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进行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年度评审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了解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致敏物质的管理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情况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（仅限HACCP）</w:t>
            </w:r>
          </w:p>
          <w:p>
            <w:pPr>
              <w:ind w:firstLine="210" w:firstLineChars="100"/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含麸质的谷类及其制品（小麦、大麦等）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甲壳类及其制品（虾、蟹等）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鱼类及其制品  </w:t>
            </w:r>
          </w:p>
          <w:p>
            <w:pPr>
              <w:ind w:firstLine="420" w:firstLineChars="200"/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蛋及其制品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花生及其制品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大豆及其制品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乳及其制品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坚果及其制品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已制订相关制度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进行</w:t>
            </w:r>
            <w:r>
              <w:rPr>
                <w:rFonts w:hint="eastAsia"/>
              </w:rPr>
              <w:t>确认和验证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未进行</w:t>
            </w:r>
            <w:r>
              <w:rPr>
                <w:rFonts w:hint="eastAsia"/>
              </w:rPr>
              <w:t>确认和验证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4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厂区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选择了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食品有显著污染的区域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，周围环境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虫害大量滋生、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废弃物以及粉尘、有害气体、放射性物质和其他扩散性污染源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不能有效清除的地址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厂区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合理布局，生活区应与生产区域划分明显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分离或分隔措施，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绿化距离合理、地面硬化、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环境清洁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扬尘和积水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虫害的孳生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适当的排水系统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厂房内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部设计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布局合理，避免食品生产中发生交叉污染。满足食品卫生操作要求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对清洁程度的要求合理划分作业区，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清洁作业区、准清洁作业区和一般作业区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并采取有效分离或分隔。厂房的面积和空间应与生产能力相适应，便于设备安置、清洁消毒、物料存储及人员操作。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厂房内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部结构易于维护、清洁或消毒与采用适当的耐用材料建造，避免食品生产中发生交叉污染。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顶棚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墙壁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门窗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（纱窗）、地面等</w:t>
            </w:r>
          </w:p>
          <w:p>
            <w:pPr>
              <w:pStyle w:val="14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观察生产用水的来源：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城市用水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地下水（井水）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地表水（江/河/湖/海）</w:t>
            </w:r>
          </w:p>
          <w:p>
            <w:pPr>
              <w:ind w:firstLine="210" w:firstLineChars="100"/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观察生产用水（与食品接触）的种类：</w:t>
            </w:r>
          </w:p>
          <w:p>
            <w:pPr>
              <w:ind w:firstLine="210" w:firstLineChars="100"/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水源水（洗手、卫生间冲水用）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纯净水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热水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蒸汽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冰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观察排水设施的状况：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明排水沟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有水封地漏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不涉及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清洁消毒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设施的对象：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原料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包材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工器具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容器（罐/箱）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不涉及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清洁消毒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的方式：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水洗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清洗（表面活性剂）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消毒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CIP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COP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不涉及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废弃物存放设施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带盖垃圾桶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不带盖垃圾桶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其他： 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个人卫生设施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一次更衣室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二次更衣室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洗手池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手动水龙头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非手动水龙头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干手器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手消毒池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鞋靴消毒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风淋室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淋浴室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观察工作服的清洗：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个人清洗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集中清洗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紫外消毒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卫生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间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位于车间内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门朝向车间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位于车间外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观察通风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自然通风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人工通风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有防虫害措施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无防虫害措施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观察照明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自然采光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人工照明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带罩灯具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非带罩灯具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观察仓储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的分类：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原料库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辅料库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化学品库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半成品库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产品库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cyan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常温库：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24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℃；湿度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54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%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冷藏库：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℃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冷冻库：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℃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观察生产车间和仓库内食品添加剂的使用和储存情况：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不使用任何食品添加剂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不使用限量食品添加剂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使用限量食品添加剂，说明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观察仓储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的管理状况：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防虫害（蚊蝇）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防鼠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消防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标识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隔地离墙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温度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湿度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观察生产设备的管理状况：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有皮带输送机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产量满足生产需要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产量不满足生产需要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材质满足生产需要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材质不满足生产需要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运行完好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运行故障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正在维修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便于清洗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不便于清洗消毒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不需要清洗              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观察生产车间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监控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设备的管理状况：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压力表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温度计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记录仪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试纸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其他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default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观察实验室检测设备的管理状况：</w:t>
            </w:r>
            <w:r>
              <w:rPr>
                <w:rFonts w:hint="eastAsia"/>
                <w:color w:val="auto"/>
                <w:lang w:val="en-US" w:eastAsia="zh-CN"/>
              </w:rPr>
              <w:t>快速水分测定仪一台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种类和精度满足检测需要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种类和精度不满足检测需要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观察实验室检测设备的检定/校准状况：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 xml:space="preserve">标识齐全有效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 xml:space="preserve">无标识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 xml:space="preserve">超过有效期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快速水分测定仪未无检定标签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无变更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16A3222"/>
    <w:rsid w:val="023E3548"/>
    <w:rsid w:val="023E7EF8"/>
    <w:rsid w:val="033D1C2C"/>
    <w:rsid w:val="03CC01AD"/>
    <w:rsid w:val="04242A2B"/>
    <w:rsid w:val="0450103B"/>
    <w:rsid w:val="0462648E"/>
    <w:rsid w:val="048575B6"/>
    <w:rsid w:val="05A97751"/>
    <w:rsid w:val="07687D49"/>
    <w:rsid w:val="089D2465"/>
    <w:rsid w:val="08BA3C76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663BB8"/>
    <w:rsid w:val="12787EE6"/>
    <w:rsid w:val="12D12C05"/>
    <w:rsid w:val="12F8092F"/>
    <w:rsid w:val="130E504F"/>
    <w:rsid w:val="13890C34"/>
    <w:rsid w:val="144E55A7"/>
    <w:rsid w:val="14BA7805"/>
    <w:rsid w:val="16674354"/>
    <w:rsid w:val="16950047"/>
    <w:rsid w:val="18211B2E"/>
    <w:rsid w:val="184C61B5"/>
    <w:rsid w:val="18A12E8E"/>
    <w:rsid w:val="1998244F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3B0D09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2D46631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DCD42A2"/>
    <w:rsid w:val="3EBF4EFB"/>
    <w:rsid w:val="3FFC3EEB"/>
    <w:rsid w:val="40D80BB8"/>
    <w:rsid w:val="413D1451"/>
    <w:rsid w:val="43683E8F"/>
    <w:rsid w:val="44E8380F"/>
    <w:rsid w:val="44FC1CFD"/>
    <w:rsid w:val="45F97E8B"/>
    <w:rsid w:val="462C25D5"/>
    <w:rsid w:val="46F31DBC"/>
    <w:rsid w:val="478A2FD4"/>
    <w:rsid w:val="48925118"/>
    <w:rsid w:val="49F65F6A"/>
    <w:rsid w:val="4A040AF9"/>
    <w:rsid w:val="4A474B11"/>
    <w:rsid w:val="4C133CFF"/>
    <w:rsid w:val="4CD55567"/>
    <w:rsid w:val="4DB85769"/>
    <w:rsid w:val="4F8F6E42"/>
    <w:rsid w:val="50486EB2"/>
    <w:rsid w:val="504978B1"/>
    <w:rsid w:val="50F446D1"/>
    <w:rsid w:val="51A77C3C"/>
    <w:rsid w:val="52721D12"/>
    <w:rsid w:val="53D86D55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75B4E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8F6125C"/>
    <w:rsid w:val="69A27837"/>
    <w:rsid w:val="69F73940"/>
    <w:rsid w:val="6A35028E"/>
    <w:rsid w:val="6A4D59DC"/>
    <w:rsid w:val="6A666DEF"/>
    <w:rsid w:val="6A7E2167"/>
    <w:rsid w:val="6AF11F23"/>
    <w:rsid w:val="6C665B72"/>
    <w:rsid w:val="6C7B045A"/>
    <w:rsid w:val="6CAF4B0F"/>
    <w:rsid w:val="6CF63A0B"/>
    <w:rsid w:val="6E847463"/>
    <w:rsid w:val="6F753E02"/>
    <w:rsid w:val="6FF16115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75C6119"/>
    <w:rsid w:val="785E4287"/>
    <w:rsid w:val="78951B16"/>
    <w:rsid w:val="78B81D00"/>
    <w:rsid w:val="7A1127C5"/>
    <w:rsid w:val="7A447DAB"/>
    <w:rsid w:val="7A907574"/>
    <w:rsid w:val="7ADF52F1"/>
    <w:rsid w:val="7AF26147"/>
    <w:rsid w:val="7C942478"/>
    <w:rsid w:val="7CA96862"/>
    <w:rsid w:val="7CFC1DF1"/>
    <w:rsid w:val="7ED254D9"/>
    <w:rsid w:val="7F3B7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0</TotalTime>
  <ScaleCrop>false</ScaleCrop>
  <LinksUpToDate>false</LinksUpToDate>
  <CharactersWithSpaces>6475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2020-08-20T09:31:25Z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