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170930" cy="9101455"/>
            <wp:effectExtent l="0" t="0" r="1270" b="4445"/>
            <wp:docPr id="2" name="图片 2" descr="新文档 2020-09-01 11.09.14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09-01 11.09.14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0930" cy="910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bookmarkStart w:id="18" w:name="_GoBack"/>
      <w:bookmarkEnd w:id="18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820"/>
        <w:gridCol w:w="422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无极县顺通有机化工有限公司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无极县城北工业区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郭奎永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13803362973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3" w:name="联系人邮箱"/>
            <w:bookmarkEnd w:id="3"/>
            <w:r>
              <w:rPr>
                <w:sz w:val="21"/>
                <w:szCs w:val="21"/>
              </w:rPr>
              <w:t>052460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4" w:name="管理者代表"/>
            <w:r>
              <w:rPr>
                <w:sz w:val="20"/>
              </w:rPr>
              <w:t>郭奎永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0311-85750283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wujishuntong@sina.com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0122-2019-Q-2020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  <w:u w:val="singl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</w:t>
            </w:r>
            <w:r>
              <w:rPr>
                <w:rFonts w:hint="eastAsia" w:ascii="宋体" w:hAnsi="宋体"/>
                <w:b/>
                <w:bCs/>
                <w:sz w:val="20"/>
                <w:u w:val="single"/>
              </w:rPr>
              <w:t>验证组织管理体系是否持续有效运行，以确定是否推荐保持认证注册资格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铸造用邦尼树脂（BNGF-1改性甲阶酚醛树脂），铸造用邦尼固化剂的生产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12.01.06;12.05.04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■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2020年09月01日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2020年09月01日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8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87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8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2019-N1QMS-3022240</w:t>
            </w:r>
          </w:p>
        </w:tc>
        <w:tc>
          <w:tcPr>
            <w:tcW w:w="187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12.01.06,12.05.04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2020.8.31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18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84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1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2020.9.1</w:t>
            </w: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*企业相关资质情况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以顾客为关注焦点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质量方针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质量目标和实现计划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总则、持续改进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24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/>
                <w:sz w:val="21"/>
                <w:szCs w:val="21"/>
              </w:rPr>
              <w:t>部：组织的岗位、职责权限；目标；产品和服务要求；外部提供的过程、产品和服务的控制；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</w:t>
            </w:r>
          </w:p>
          <w:p>
            <w:pPr>
              <w:spacing w:line="24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5.3/6.2/8.4/8.2/9.1.2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6665" w:type="dxa"/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质检部：组织的岗位、职责权限、质量目标、监视和测量资源、产品和服务的放行、 不合格输出的控制、不合格和纠正措施</w:t>
            </w:r>
          </w:p>
          <w:p>
            <w:pPr>
              <w:spacing w:line="2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5.3/6.2/7.1.3/7.1.4/8.1/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8.5.1/8.5.2/8.5.4/8.5.6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34126A"/>
    <w:rsid w:val="328611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2020-09-04T01:43:18Z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