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bookmarkStart w:id="4" w:name="_GoBack" w:colFirst="2" w:colLast="3"/>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受审核部门：领导层  </w:t>
            </w:r>
            <w:r>
              <w:rPr>
                <w:rFonts w:hint="eastAsia"/>
              </w:rPr>
              <w:t xml:space="preserve">  </w:t>
            </w:r>
            <w:r>
              <w:rPr>
                <w:rFonts w:hint="eastAsia"/>
                <w:sz w:val="24"/>
                <w:szCs w:val="24"/>
              </w:rPr>
              <w:t xml:space="preserve">   </w:t>
            </w:r>
            <w:r>
              <w:rPr>
                <w:sz w:val="24"/>
                <w:szCs w:val="24"/>
              </w:rPr>
              <w:t xml:space="preserve">     </w:t>
            </w:r>
            <w:r>
              <w:rPr>
                <w:rFonts w:hint="eastAsia"/>
                <w:sz w:val="24"/>
                <w:szCs w:val="24"/>
              </w:rPr>
              <w:t>陪同人员：</w:t>
            </w:r>
            <w:r>
              <w:rPr>
                <w:sz w:val="24"/>
                <w:szCs w:val="24"/>
              </w:rPr>
              <w:t xml:space="preserve"> </w:t>
            </w:r>
            <w:r>
              <w:rPr>
                <w:rFonts w:hint="eastAsia"/>
                <w:sz w:val="24"/>
                <w:szCs w:val="24"/>
              </w:rPr>
              <w:t>王闪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审核员：岳树亮</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审核日期：2020-0</w:t>
            </w:r>
            <w:r>
              <w:rPr>
                <w:sz w:val="24"/>
                <w:szCs w:val="24"/>
              </w:rPr>
              <w:t>8</w:t>
            </w:r>
            <w:r>
              <w:rPr>
                <w:rFonts w:hint="eastAsia"/>
                <w:sz w:val="24"/>
                <w:szCs w:val="24"/>
              </w:rPr>
              <w:t>-</w:t>
            </w:r>
            <w:r>
              <w:rPr>
                <w:sz w:val="24"/>
                <w:szCs w:val="24"/>
              </w:rPr>
              <w:t>15</w:t>
            </w:r>
            <w:r>
              <w:rPr>
                <w:rFonts w:hint="eastAsia"/>
              </w:rPr>
              <w:t>（现场）</w:t>
            </w:r>
          </w:p>
        </w:tc>
        <w:tc>
          <w:tcPr>
            <w:tcW w:w="1585" w:type="dxa"/>
            <w:vMerge w:val="continue"/>
          </w:tc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Cs w:val="21"/>
              </w:rPr>
            </w:pPr>
            <w:r>
              <w:rPr>
                <w:rFonts w:hint="eastAsia"/>
                <w:sz w:val="24"/>
                <w:szCs w:val="24"/>
              </w:rPr>
              <w:t>审核条款：</w:t>
            </w:r>
            <w:r>
              <w:rPr>
                <w:szCs w:val="21"/>
              </w:rPr>
              <w:t>OHS:4.1/4.2/4.3/4.4/5.1/5.2/5.3/5.4/6.1</w:t>
            </w:r>
            <w:r>
              <w:rPr>
                <w:rFonts w:hint="eastAsia"/>
                <w:szCs w:val="21"/>
              </w:rPr>
              <w:t>.1</w:t>
            </w:r>
            <w:r>
              <w:rPr>
                <w:szCs w:val="21"/>
              </w:rPr>
              <w:t>/</w:t>
            </w:r>
            <w:r>
              <w:rPr>
                <w:rFonts w:hint="eastAsia"/>
                <w:szCs w:val="21"/>
              </w:rPr>
              <w:t>6.1.2/6.1.3/6.1.4/</w:t>
            </w:r>
            <w:r>
              <w:rPr>
                <w:szCs w:val="21"/>
              </w:rPr>
              <w:t>6.2/7.1/7.</w:t>
            </w:r>
            <w:r>
              <w:rPr>
                <w:rFonts w:hint="eastAsia"/>
                <w:szCs w:val="21"/>
              </w:rPr>
              <w:t>3</w:t>
            </w:r>
            <w:r>
              <w:rPr>
                <w:szCs w:val="21"/>
              </w:rPr>
              <w:t>/</w:t>
            </w:r>
            <w:r>
              <w:rPr>
                <w:rFonts w:hint="eastAsia"/>
                <w:szCs w:val="21"/>
              </w:rPr>
              <w:t>8.1.1/8.1.3/</w:t>
            </w:r>
            <w:r>
              <w:rPr>
                <w:szCs w:val="21"/>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O4.1 </w:t>
            </w:r>
          </w:p>
        </w:tc>
        <w:tc>
          <w:tcPr>
            <w:tcW w:w="745" w:type="dxa"/>
          </w:tcPr>
          <w:p>
            <w:r>
              <w:rPr>
                <w:rFonts w:hint="eastAsia"/>
              </w:rPr>
              <w:t>文件名称</w:t>
            </w:r>
          </w:p>
        </w:tc>
        <w:tc>
          <w:tcPr>
            <w:tcW w:w="9259" w:type="dxa"/>
          </w:tcPr>
          <w:p>
            <w:pPr>
              <w:rPr>
                <w:b/>
              </w:rPr>
            </w:pPr>
            <w:r>
              <w:rPr>
                <w:rFonts w:hint="eastAsia"/>
              </w:rPr>
              <w:t>如：管理手册、《公司环境分析控制程序》、《风险和机遇管制程序》、《风险和机遇识别与对策表》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rPr>
                    <w:t>外部议题</w:t>
                  </w:r>
                </w:p>
              </w:tc>
              <w:tc>
                <w:tcPr>
                  <w:tcW w:w="7513" w:type="dxa"/>
                  <w:vAlign w:val="center"/>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rPr>
                    <w:t>列举主要的内容</w:t>
                  </w:r>
                </w:p>
              </w:tc>
              <w:tc>
                <w:tcPr>
                  <w:tcW w:w="7513" w:type="dxa"/>
                  <w:vAlign w:val="center"/>
                </w:tcPr>
                <w:p>
                  <w:r>
                    <w:rPr>
                      <w:rFonts w:hint="eastAsia"/>
                    </w:rPr>
                    <w:t>职业健康安全的相关法律法规越来越完善、监管力度加大；环保、质量、健康饮食、食品安全意识逐渐深入人心，企业的发展必须适应经营环境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rPr>
                    <w:t>内部议题</w:t>
                  </w:r>
                </w:p>
              </w:tc>
              <w:tc>
                <w:tcPr>
                  <w:tcW w:w="7513" w:type="dxa"/>
                  <w:vAlign w:val="center"/>
                </w:tcPr>
                <w:p>
                  <w:pPr>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rPr>
                    <w:t>列举主要的内容</w:t>
                  </w:r>
                </w:p>
              </w:tc>
              <w:tc>
                <w:tcPr>
                  <w:tcW w:w="7513" w:type="dxa"/>
                  <w:vAlign w:val="center"/>
                </w:tcPr>
                <w:p>
                  <w:r>
                    <w:rPr>
                      <w:rFonts w:hint="eastAsia"/>
                    </w:rPr>
                    <w:t>运营环境必须符合职业健康安全要求，保障员工健康安全要求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vAlign w:val="center"/>
                </w:tcPr>
                <w:p>
                  <w:r>
                    <w:rPr>
                      <w:rFonts w:hint="eastAsia"/>
                      <w:szCs w:val="21"/>
                    </w:rPr>
                    <w:t>组织优势说明</w:t>
                  </w:r>
                </w:p>
              </w:tc>
              <w:tc>
                <w:tcPr>
                  <w:tcW w:w="7513" w:type="dxa"/>
                  <w:vAlign w:val="center"/>
                </w:tcPr>
                <w:p>
                  <w:r>
                    <w:rPr>
                      <w:rFonts w:hint="eastAsia"/>
                    </w:rPr>
                    <w:t>管理成熟，组织精干高效，适应能力强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szCs w:val="21"/>
                    </w:rPr>
                    <w:t>组织劣势说明</w:t>
                  </w:r>
                </w:p>
              </w:tc>
              <w:tc>
                <w:tcPr>
                  <w:tcW w:w="7513" w:type="dxa"/>
                  <w:vAlign w:val="center"/>
                </w:tcPr>
                <w:p>
                  <w:r>
                    <w:rPr>
                      <w:rFonts w:hint="eastAsia"/>
                    </w:rPr>
                    <w:t>食品安全风险大，市场竞争激烈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szCs w:val="21"/>
                    </w:rPr>
                    <w:t>主要风险的说明</w:t>
                  </w:r>
                </w:p>
              </w:tc>
              <w:tc>
                <w:tcPr>
                  <w:tcW w:w="7513" w:type="dxa"/>
                  <w:vAlign w:val="center"/>
                </w:tcPr>
                <w:p>
                  <w:r>
                    <w:rPr>
                      <w:rFonts w:hint="eastAsia" w:ascii="宋体" w:hAnsi="宋体"/>
                      <w:szCs w:val="21"/>
                    </w:rPr>
                    <w:t>火灾</w:t>
                  </w:r>
                  <w:r>
                    <w:rPr>
                      <w:rFonts w:hint="eastAsia"/>
                    </w:rPr>
                    <w:t>、</w:t>
                  </w:r>
                  <w:r>
                    <w:rPr>
                      <w:rFonts w:hint="eastAsia" w:ascii="宋体" w:hAnsi="宋体"/>
                      <w:szCs w:val="21"/>
                    </w:rPr>
                    <w:t>触电</w:t>
                  </w:r>
                  <w:r>
                    <w:rPr>
                      <w:rFonts w:hint="eastAsia"/>
                    </w:rPr>
                    <w:t>、</w:t>
                  </w:r>
                  <w:r>
                    <w:rPr>
                      <w:rFonts w:hint="eastAsia" w:ascii="宋体" w:hAnsi="宋体"/>
                      <w:szCs w:val="21"/>
                    </w:rPr>
                    <w:t>机械伤害</w:t>
                  </w:r>
                  <w:r>
                    <w:rPr>
                      <w:rFonts w:hint="eastAsia"/>
                    </w:rPr>
                    <w:t>、烫伤、食物中毒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r>
                    <w:rPr>
                      <w:rFonts w:hint="eastAsia"/>
                      <w:szCs w:val="21"/>
                    </w:rPr>
                    <w:t>机遇的说明</w:t>
                  </w:r>
                </w:p>
              </w:tc>
              <w:tc>
                <w:tcPr>
                  <w:tcW w:w="7513" w:type="dxa"/>
                  <w:vAlign w:val="center"/>
                </w:tcPr>
                <w:p>
                  <w:r>
                    <w:rPr>
                      <w:rFonts w:hint="eastAsia"/>
                    </w:rPr>
                    <w:t>与同类企业相比职业健康安全控制强</w:t>
                  </w:r>
                </w:p>
              </w:tc>
            </w:tr>
          </w:tbl>
          <w:p>
            <w:pPr>
              <w:rPr>
                <w:color w:val="000000"/>
                <w:szCs w:val="21"/>
              </w:rPr>
            </w:pPr>
          </w:p>
          <w:p>
            <w:pPr>
              <w:rPr>
                <w:color w:val="000000"/>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《风险和机遇识别与对策表》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tc>
        <w:tc>
          <w:tcPr>
            <w:tcW w:w="9259" w:type="dxa"/>
          </w:tcPr>
          <w:p>
            <w:pPr>
              <w:rPr>
                <w:color w:val="000000"/>
                <w:szCs w:val="21"/>
              </w:rPr>
            </w:pPr>
            <w:r>
              <w:rPr>
                <w:rFonts w:hint="eastAsia"/>
                <w:color w:val="000000"/>
                <w:szCs w:val="21"/>
              </w:rPr>
              <w:t>生活垃圾由苏州市吴中区郭巷街道环境卫生管理所负责清运；签署有《生活垃圾代运待处理合同》，有效期至2</w:t>
            </w:r>
            <w:r>
              <w:rPr>
                <w:color w:val="000000"/>
                <w:szCs w:val="21"/>
              </w:rPr>
              <w:t>020</w:t>
            </w:r>
            <w:r>
              <w:rPr>
                <w:rFonts w:hint="eastAsia"/>
                <w:color w:val="000000"/>
                <w:szCs w:val="21"/>
              </w:rPr>
              <w:t>年1</w:t>
            </w:r>
            <w:r>
              <w:rPr>
                <w:color w:val="000000"/>
                <w:szCs w:val="21"/>
              </w:rPr>
              <w:t>2</w:t>
            </w:r>
            <w:r>
              <w:rPr>
                <w:rFonts w:hint="eastAsia"/>
                <w:color w:val="000000"/>
                <w:szCs w:val="21"/>
              </w:rPr>
              <w:t>月3</w:t>
            </w:r>
            <w:r>
              <w:rPr>
                <w:color w:val="000000"/>
                <w:szCs w:val="21"/>
              </w:rPr>
              <w:t>1</w:t>
            </w:r>
            <w:r>
              <w:rPr>
                <w:rFonts w:hint="eastAsia"/>
                <w:color w:val="000000"/>
                <w:szCs w:val="21"/>
              </w:rPr>
              <w:t>日；</w:t>
            </w:r>
          </w:p>
          <w:p>
            <w:pPr>
              <w:pStyle w:val="2"/>
            </w:pP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ascii="Arial" w:hAnsi="Arial"/>
              </w:rPr>
            </w:pPr>
            <w:bookmarkStart w:id="0" w:name="_Toc17985659"/>
            <w:r>
              <w:rPr>
                <w:rFonts w:hint="eastAsia" w:ascii="Arial" w:hAnsi="Arial"/>
              </w:rPr>
              <w:t>理解工作人员和其他相关方的需求和期望</w:t>
            </w:r>
            <w:bookmarkEnd w:id="0"/>
          </w:p>
        </w:tc>
        <w:tc>
          <w:tcPr>
            <w:tcW w:w="960" w:type="dxa"/>
            <w:vMerge w:val="restart"/>
          </w:tcPr>
          <w:p>
            <w:r>
              <w:rPr>
                <w:rFonts w:hint="eastAsia"/>
              </w:rPr>
              <w:t xml:space="preserve">O4.2 </w:t>
            </w:r>
          </w:p>
        </w:tc>
        <w:tc>
          <w:tcPr>
            <w:tcW w:w="745" w:type="dxa"/>
          </w:tcPr>
          <w:p>
            <w:r>
              <w:rPr>
                <w:rFonts w:hint="eastAsia"/>
              </w:rPr>
              <w:t>文件名称</w:t>
            </w:r>
          </w:p>
        </w:tc>
        <w:tc>
          <w:tcPr>
            <w:tcW w:w="9259" w:type="dxa"/>
          </w:tcPr>
          <w:p>
            <w:r>
              <w:rPr>
                <w:rFonts w:hint="eastAsia"/>
              </w:rPr>
              <w:t>如：管理手册第4.2章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重要的相关方</w:t>
                  </w:r>
                </w:p>
              </w:tc>
              <w:tc>
                <w:tcPr>
                  <w:tcW w:w="2495" w:type="dxa"/>
                  <w:vAlign w:val="center"/>
                </w:tcPr>
                <w:p>
                  <w:r>
                    <w:rPr>
                      <w:rFonts w:hint="eastAsia"/>
                    </w:rPr>
                    <w:t>相关方名称举例</w:t>
                  </w:r>
                </w:p>
              </w:tc>
              <w:tc>
                <w:tcPr>
                  <w:tcW w:w="3611" w:type="dxa"/>
                  <w:vAlign w:val="center"/>
                </w:tcPr>
                <w:p>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☑主管部门</w:t>
                  </w:r>
                </w:p>
              </w:tc>
              <w:tc>
                <w:tcPr>
                  <w:tcW w:w="2495" w:type="dxa"/>
                  <w:vAlign w:val="center"/>
                </w:tcPr>
                <w:p>
                  <w:r>
                    <w:rPr>
                      <w:rFonts w:hint="eastAsia"/>
                    </w:rPr>
                    <w:t>苏州市吴中区</w:t>
                  </w:r>
                  <w:r>
                    <w:rPr>
                      <w:rFonts w:hint="eastAsia"/>
                      <w:szCs w:val="22"/>
                    </w:rPr>
                    <w:t>市场监督管理局</w:t>
                  </w:r>
                </w:p>
              </w:tc>
              <w:tc>
                <w:tcPr>
                  <w:tcW w:w="3611" w:type="dxa"/>
                  <w:vAlign w:val="center"/>
                </w:tcPr>
                <w:p>
                  <w:r>
                    <w:rPr>
                      <w:rFonts w:ascii="Segoe UI Emoji" w:hAnsi="Segoe UI Emoji" w:cs="Segoe UI Emoji"/>
                    </w:rPr>
                    <w:t>☑</w:t>
                  </w:r>
                  <w:r>
                    <w:rPr>
                      <w:rFonts w:hint="eastAsia" w:ascii="宋体" w:hAnsi="宋体" w:cs="宋体"/>
                    </w:rPr>
                    <w:t>遵守职业健康安全相关的法律法</w:t>
                  </w:r>
                  <w:r>
                    <w:rPr>
                      <w:rFonts w:hint="eastAsia"/>
                    </w:rPr>
                    <w:t>规</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495" w:type="dxa"/>
                  <w:vAlign w:val="center"/>
                </w:tcPr>
                <w:p>
                  <w:r>
                    <w:rPr>
                      <w:rFonts w:hint="eastAsia"/>
                    </w:rPr>
                    <w:t>例如：扬州宝扬米业有限公司</w:t>
                  </w:r>
                </w:p>
              </w:tc>
              <w:tc>
                <w:tcPr>
                  <w:tcW w:w="3611" w:type="dxa"/>
                  <w:vAlign w:val="center"/>
                </w:tcPr>
                <w:p>
                  <w:r>
                    <w:rPr>
                      <w:rFonts w:hint="eastAsia"/>
                    </w:rPr>
                    <w:t>☑组织的持续经营</w:t>
                  </w:r>
                </w:p>
                <w:p>
                  <w:r>
                    <w:rPr>
                      <w:rFonts w:ascii="Segoe UI Emoji" w:hAnsi="Segoe UI Emoji" w:cs="Segoe UI Emoji"/>
                    </w:rPr>
                    <w:t>☑</w:t>
                  </w:r>
                  <w:r>
                    <w:rPr>
                      <w:rFonts w:hint="eastAsia" w:ascii="宋体" w:hAnsi="宋体" w:cs="宋体"/>
                    </w:rPr>
                    <w:t>明示采购的职业健康安全要</w:t>
                  </w:r>
                  <w:r>
                    <w:rPr>
                      <w:rFonts w:hint="eastAsia"/>
                    </w:rPr>
                    <w:t>求</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495" w:type="dxa"/>
                  <w:vAlign w:val="center"/>
                </w:tcPr>
                <w:p>
                  <w:r>
                    <w:rPr>
                      <w:rFonts w:hint="eastAsia"/>
                    </w:rPr>
                    <w:t>例如：用餐者</w:t>
                  </w:r>
                </w:p>
              </w:tc>
              <w:tc>
                <w:tcPr>
                  <w:tcW w:w="3611" w:type="dxa"/>
                  <w:vAlign w:val="center"/>
                </w:tcPr>
                <w:p>
                  <w:pPr>
                    <w:ind w:left="210" w:hanging="210" w:hangingChars="100"/>
                  </w:pPr>
                  <w:r>
                    <w:rPr>
                      <w:rFonts w:hint="eastAsia"/>
                    </w:rPr>
                    <w:t>☑不因职业健康安全问题影响按时按质按量交付产品或服务；</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szCs w:val="24"/>
                    </w:rPr>
                  </w:pPr>
                  <w:r>
                    <w:rPr>
                      <w:rFonts w:hint="eastAsia"/>
                    </w:rPr>
                    <w:t>☑员工</w:t>
                  </w:r>
                </w:p>
              </w:tc>
              <w:tc>
                <w:tcPr>
                  <w:tcW w:w="2495" w:type="dxa"/>
                  <w:vAlign w:val="center"/>
                </w:tcPr>
                <w:p>
                  <w:r>
                    <w:rPr>
                      <w:rFonts w:hint="eastAsia"/>
                    </w:rPr>
                    <w:t>——</w:t>
                  </w:r>
                </w:p>
              </w:tc>
              <w:tc>
                <w:tcPr>
                  <w:tcW w:w="3611" w:type="dxa"/>
                  <w:vAlign w:val="center"/>
                </w:tcPr>
                <w:p>
                  <w:r>
                    <w:rPr>
                      <w:rFonts w:hint="eastAsia"/>
                    </w:rPr>
                    <w:t>☑不发生工伤和职业病，</w:t>
                  </w:r>
                </w:p>
                <w:p>
                  <w:r>
                    <w:rPr>
                      <w:rFonts w:hint="eastAsia"/>
                    </w:rPr>
                    <w:t>☑组织持续经营</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□审核机构</w:t>
                  </w:r>
                </w:p>
              </w:tc>
              <w:tc>
                <w:tcPr>
                  <w:tcW w:w="2495" w:type="dxa"/>
                </w:tcPr>
                <w:p>
                  <w:pPr>
                    <w:rPr>
                      <w:color w:val="1D41D5"/>
                    </w:rPr>
                  </w:pPr>
                </w:p>
              </w:tc>
              <w:tc>
                <w:tcPr>
                  <w:tcW w:w="3611" w:type="dxa"/>
                </w:tcPr>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□承包方</w:t>
                  </w:r>
                </w:p>
              </w:tc>
              <w:tc>
                <w:tcPr>
                  <w:tcW w:w="2495" w:type="dxa"/>
                </w:tcPr>
                <w:p>
                  <w:pPr>
                    <w:rPr>
                      <w:color w:val="1D41D5"/>
                    </w:rPr>
                  </w:pPr>
                </w:p>
              </w:tc>
              <w:tc>
                <w:tcPr>
                  <w:tcW w:w="3611" w:type="dxa"/>
                </w:tcPr>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w:t>
            </w:r>
            <w:r>
              <w:rPr>
                <w:b/>
              </w:rPr>
              <w:t>相关方</w:t>
            </w:r>
            <w:r>
              <w:rPr>
                <w:rFonts w:hint="eastAsia"/>
                <w:b/>
              </w:rPr>
              <w:t>及其需求识别评审清单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确定职业健康安全管理体系的范围</w:t>
            </w:r>
          </w:p>
        </w:tc>
        <w:tc>
          <w:tcPr>
            <w:tcW w:w="960" w:type="dxa"/>
            <w:vMerge w:val="restart"/>
          </w:tcPr>
          <w:p>
            <w:r>
              <w:rPr>
                <w:rFonts w:hint="eastAsia"/>
              </w:rPr>
              <w:t>O4.3</w:t>
            </w:r>
          </w:p>
        </w:tc>
        <w:tc>
          <w:tcPr>
            <w:tcW w:w="745" w:type="dxa"/>
          </w:tcPr>
          <w:p>
            <w:r>
              <w:rPr>
                <w:rFonts w:hint="eastAsia"/>
              </w:rPr>
              <w:t>文件名称</w:t>
            </w:r>
          </w:p>
        </w:tc>
        <w:tc>
          <w:tcPr>
            <w:tcW w:w="9259" w:type="dxa"/>
            <w:vAlign w:val="center"/>
          </w:tcPr>
          <w:p>
            <w:r>
              <w:rPr>
                <w:rFonts w:hint="eastAsia"/>
              </w:rPr>
              <w:t>如：管理手册和“公司介绍”</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70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5708" w:type="dxa"/>
                  <w:vAlign w:val="center"/>
                </w:tcPr>
                <w:p>
                  <w:pPr>
                    <w:jc w:val="center"/>
                  </w:pPr>
                  <w:r>
                    <w:rPr>
                      <w:rFonts w:hint="eastAsia"/>
                    </w:rPr>
                    <w:t>内容描述</w:t>
                  </w:r>
                </w:p>
              </w:tc>
              <w:tc>
                <w:tcPr>
                  <w:tcW w:w="142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r>
                    <w:rPr>
                      <w:rFonts w:hint="eastAsia"/>
                    </w:rPr>
                    <w:t>产品/服务的活动</w:t>
                  </w:r>
                </w:p>
              </w:tc>
              <w:tc>
                <w:tcPr>
                  <w:tcW w:w="5708" w:type="dxa"/>
                </w:tcPr>
                <w:p>
                  <w:pPr>
                    <w:spacing w:line="360" w:lineRule="exact"/>
                    <w:ind w:right="-55"/>
                    <w:rPr>
                      <w:rFonts w:ascii="宋体" w:hAnsi="宋体"/>
                      <w:szCs w:val="21"/>
                    </w:rPr>
                  </w:pPr>
                  <w:r>
                    <w:rPr>
                      <w:rFonts w:hint="eastAsia" w:ascii="宋体" w:hAnsi="宋体" w:cs="宋体"/>
                      <w:color w:val="000000"/>
                      <w:szCs w:val="21"/>
                    </w:rPr>
                    <w:t>餐饮管理（热食类食品制售）</w:t>
                  </w:r>
                  <w:r>
                    <w:rPr>
                      <w:rFonts w:hint="eastAsia" w:ascii="宋体" w:hAnsi="宋体" w:cs="宋体"/>
                      <w:szCs w:val="21"/>
                    </w:rPr>
                    <w:t>产品的生产和服务过程所涉及的与质量、环境、职业健康、食品安全管理体系有关的活动</w:t>
                  </w:r>
                </w:p>
              </w:tc>
              <w:tc>
                <w:tcPr>
                  <w:tcW w:w="14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r>
                    <w:rPr>
                      <w:rFonts w:hint="eastAsia"/>
                    </w:rPr>
                    <w:t>经营地址</w:t>
                  </w:r>
                </w:p>
              </w:tc>
              <w:tc>
                <w:tcPr>
                  <w:tcW w:w="5708" w:type="dxa"/>
                </w:tcPr>
                <w:p>
                  <w:r>
                    <w:rPr>
                      <w:rFonts w:hint="eastAsia"/>
                    </w:rPr>
                    <w:t>江苏省苏州市吴中区郭巷街道吴东路1188-2号1幢1188-6室</w:t>
                  </w:r>
                </w:p>
              </w:tc>
              <w:tc>
                <w:tcPr>
                  <w:tcW w:w="14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708"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14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708" w:type="dxa"/>
                </w:tcPr>
                <w:p>
                  <w:r>
                    <w:rPr>
                      <w:rFonts w:hint="eastAsia"/>
                    </w:rPr>
                    <w:sym w:font="Wingdings" w:char="00FE"/>
                  </w:r>
                  <w:r>
                    <w:rPr>
                      <w:rFonts w:hint="eastAsia"/>
                    </w:rPr>
                    <w:t xml:space="preserve"> 体系建立以来</w:t>
                  </w:r>
                </w:p>
                <w:p>
                  <w:r>
                    <w:rPr>
                      <w:rFonts w:hint="eastAsia"/>
                    </w:rPr>
                    <w:sym w:font="Wingdings" w:char="00A8"/>
                  </w:r>
                  <w:r>
                    <w:t xml:space="preserve"> </w:t>
                  </w:r>
                  <w:r>
                    <w:rPr>
                      <w:rFonts w:hint="eastAsia"/>
                    </w:rPr>
                    <w:t>近一年以来</w:t>
                  </w:r>
                </w:p>
              </w:tc>
              <w:tc>
                <w:tcPr>
                  <w:tcW w:w="1424" w:type="dxa"/>
                </w:tcP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职业健康安全管理体系</w:t>
            </w:r>
            <w:bookmarkEnd w:id="1"/>
          </w:p>
        </w:tc>
        <w:tc>
          <w:tcPr>
            <w:tcW w:w="960" w:type="dxa"/>
            <w:vMerge w:val="restart"/>
          </w:tcPr>
          <w:p>
            <w:r>
              <w:rPr>
                <w:rFonts w:hint="eastAsia"/>
              </w:rPr>
              <w:t xml:space="preserve">O4.4 </w:t>
            </w:r>
          </w:p>
        </w:tc>
        <w:tc>
          <w:tcPr>
            <w:tcW w:w="745" w:type="dxa"/>
          </w:tcPr>
          <w:p>
            <w:r>
              <w:rPr>
                <w:rFonts w:hint="eastAsia"/>
              </w:rPr>
              <w:t>文件名称</w:t>
            </w:r>
          </w:p>
        </w:tc>
        <w:tc>
          <w:tcPr>
            <w:tcW w:w="9259" w:type="dxa"/>
            <w:vAlign w:val="center"/>
          </w:tcPr>
          <w:p>
            <w:r>
              <w:rPr>
                <w:rFonts w:hint="eastAsia"/>
              </w:rPr>
              <w:t>如：管理手册、《风险和机遇评估分析表》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☑用电安全控制 ☑人员能力管理 □危化品管理 □特种设备管理 □其他</w:t>
            </w:r>
          </w:p>
          <w:p>
            <w:pPr>
              <w:spacing w:before="40" w:after="40"/>
            </w:pPr>
            <w:r>
              <w:rPr>
                <w:rFonts w:hint="eastAsia"/>
              </w:rPr>
              <w:t>□放射线探伤   □安全作业控制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b/>
                <w:bCs/>
              </w:rPr>
              <w:t xml:space="preserve">  </w:t>
            </w:r>
            <w:r>
              <w:rPr>
                <w:rFonts w:hint="eastAsia"/>
                <w:b/>
                <w:bCs/>
                <w:lang w:val="en-GB"/>
              </w:rPr>
              <w:t>无</w:t>
            </w:r>
          </w:p>
          <w:p>
            <w:pPr>
              <w:rPr>
                <w:highlight w:val="cyan"/>
              </w:rPr>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O5.1  </w:t>
            </w:r>
          </w:p>
        </w:tc>
        <w:tc>
          <w:tcPr>
            <w:tcW w:w="745" w:type="dxa"/>
          </w:tcPr>
          <w:p>
            <w:r>
              <w:rPr>
                <w:rFonts w:hint="eastAsia"/>
              </w:rPr>
              <w:t>文件名称</w:t>
            </w:r>
          </w:p>
        </w:tc>
        <w:tc>
          <w:tcPr>
            <w:tcW w:w="9259" w:type="dxa"/>
            <w:vAlign w:val="center"/>
          </w:tcPr>
          <w:p>
            <w:r>
              <w:rPr>
                <w:rFonts w:hint="eastAsia"/>
              </w:rPr>
              <w:t>如：管理手册、“总经理岗位职责”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color w:val="000000"/>
                <w:szCs w:val="21"/>
              </w:rPr>
              <w:t xml:space="preserve"> </w:t>
            </w: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b/>
                <w:bCs/>
                <w:szCs w:val="21"/>
              </w:rPr>
            </w:pPr>
          </w:p>
          <w:p>
            <w:pPr>
              <w:rPr>
                <w:color w:val="000000"/>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rPr>
              <w:t>O5.2  </w:t>
            </w:r>
          </w:p>
        </w:tc>
        <w:tc>
          <w:tcPr>
            <w:tcW w:w="745" w:type="dxa"/>
          </w:tcPr>
          <w:p>
            <w:r>
              <w:rPr>
                <w:rFonts w:hint="eastAsia"/>
              </w:rPr>
              <w:t>文件名称</w:t>
            </w:r>
          </w:p>
        </w:tc>
        <w:tc>
          <w:tcPr>
            <w:tcW w:w="9259" w:type="dxa"/>
            <w:vAlign w:val="center"/>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最高管理者制定了文件化的职业健康安全方针：</w:t>
            </w:r>
          </w:p>
          <w:p>
            <w:pPr>
              <w:ind w:firstLine="420" w:firstLineChars="200"/>
              <w:rPr>
                <w:u w:val="single"/>
              </w:rPr>
            </w:pPr>
            <w:r>
              <w:rPr>
                <w:rFonts w:hint="eastAsia"/>
                <w:u w:val="single"/>
              </w:rPr>
              <w:t xml:space="preserve">  </w:t>
            </w:r>
            <w:r>
              <w:rPr>
                <w:rFonts w:hint="eastAsia" w:asciiTheme="minorHAnsi" w:hAnsiTheme="minorHAnsi" w:cstheme="minorBidi"/>
                <w:u w:val="single"/>
              </w:rPr>
              <w:t>宾客至上、质量第一，保护环境、预防第一、诚信守法、安全第一、持续改进、永续经营</w:t>
            </w:r>
            <w:r>
              <w:rPr>
                <w:rFonts w:hint="eastAsia"/>
                <w:u w:val="single"/>
              </w:rPr>
              <w:t xml:space="preserve"> </w:t>
            </w:r>
            <w:r>
              <w:rPr>
                <w:u w:val="single"/>
              </w:rPr>
              <w:t xml:space="preserve"> </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 xml:space="preserve">☑包括为制定职业健康安全目标提供框架； </w:t>
            </w:r>
          </w:p>
          <w:p>
            <w:r>
              <w:rPr>
                <w:rFonts w:hint="eastAsia"/>
              </w:rPr>
              <w:t>☑包括满足法律法规要求和其他要求的承诺</w:t>
            </w:r>
          </w:p>
          <w:p>
            <w:pPr>
              <w:rPr>
                <w:color w:val="000000"/>
              </w:rPr>
            </w:pPr>
            <w:r>
              <w:rPr>
                <w:rFonts w:hint="eastAsia"/>
              </w:rPr>
              <w:t>☑包括消除危险源和降低职业健康安全风险的承诺</w:t>
            </w:r>
          </w:p>
          <w:p>
            <w:r>
              <w:rPr>
                <w:rFonts w:hint="eastAsia"/>
              </w:rPr>
              <w:t>☑包括持续改进职业健康安全管理体系的承诺</w:t>
            </w:r>
          </w:p>
          <w:p>
            <w:r>
              <w:rPr>
                <w:rFonts w:hint="eastAsia"/>
              </w:rPr>
              <w:t>☑包括工作人员及其代表（若有）的协商和参与的承诺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其他</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O5.3  </w:t>
            </w:r>
          </w:p>
        </w:tc>
        <w:tc>
          <w:tcPr>
            <w:tcW w:w="745" w:type="dxa"/>
          </w:tcPr>
          <w:p>
            <w:r>
              <w:rPr>
                <w:rFonts w:hint="eastAsia"/>
              </w:rPr>
              <w:t>文件名称</w:t>
            </w:r>
          </w:p>
        </w:tc>
        <w:tc>
          <w:tcPr>
            <w:tcW w:w="9259" w:type="dxa"/>
            <w:vAlign w:val="center"/>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vAlign w:val="center"/>
                </w:tcPr>
                <w:p>
                  <w:pPr>
                    <w:jc w:val="center"/>
                  </w:pPr>
                  <w:r>
                    <w:rPr>
                      <w:rFonts w:hint="eastAsia"/>
                    </w:rPr>
                    <w:t>过程名称</w:t>
                  </w:r>
                </w:p>
              </w:tc>
              <w:tc>
                <w:tcPr>
                  <w:tcW w:w="2261" w:type="dxa"/>
                  <w:vAlign w:val="center"/>
                </w:tcPr>
                <w:p>
                  <w:pPr>
                    <w:jc w:val="center"/>
                  </w:pPr>
                  <w:r>
                    <w:rPr>
                      <w:rFonts w:hint="eastAsia"/>
                    </w:rPr>
                    <w:t>主管部门名称</w:t>
                  </w:r>
                </w:p>
              </w:tc>
              <w:tc>
                <w:tcPr>
                  <w:tcW w:w="2261" w:type="dxa"/>
                  <w:vAlign w:val="center"/>
                </w:tcPr>
                <w:p>
                  <w:pPr>
                    <w:jc w:val="center"/>
                  </w:pPr>
                  <w:r>
                    <w:rPr>
                      <w:rFonts w:hint="eastAsia"/>
                    </w:rPr>
                    <w:t>过程名称</w:t>
                  </w:r>
                </w:p>
              </w:tc>
              <w:tc>
                <w:tcPr>
                  <w:tcW w:w="2261" w:type="dxa"/>
                  <w:vAlign w:val="center"/>
                </w:tcPr>
                <w:p>
                  <w:pPr>
                    <w:jc w:val="cente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r>
                    <w:rPr>
                      <w:rFonts w:hint="eastAsia"/>
                    </w:rPr>
                    <w:t>职业健康安全管理体系策划和推动</w:t>
                  </w:r>
                </w:p>
              </w:tc>
              <w:tc>
                <w:tcPr>
                  <w:tcW w:w="2261" w:type="dxa"/>
                  <w:vAlign w:val="center"/>
                </w:tcPr>
                <w:p>
                  <w:r>
                    <w:rPr>
                      <w:rFonts w:hint="eastAsia"/>
                    </w:rPr>
                    <w:t>办公室</w:t>
                  </w:r>
                </w:p>
              </w:tc>
              <w:tc>
                <w:tcPr>
                  <w:tcW w:w="2261" w:type="dxa"/>
                  <w:vAlign w:val="center"/>
                </w:tcPr>
                <w:p>
                  <w:r>
                    <w:rPr>
                      <w:rFonts w:hint="eastAsia"/>
                    </w:rPr>
                    <w:t>产品/服务质量控制</w:t>
                  </w:r>
                </w:p>
              </w:tc>
              <w:tc>
                <w:tcPr>
                  <w:tcW w:w="2261" w:type="dxa"/>
                  <w:vAlign w:val="center"/>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r>
                    <w:rPr>
                      <w:rFonts w:hint="eastAsia"/>
                    </w:rPr>
                    <w:t>外部供方控制</w:t>
                  </w:r>
                </w:p>
              </w:tc>
              <w:tc>
                <w:tcPr>
                  <w:tcW w:w="2261" w:type="dxa"/>
                  <w:vAlign w:val="center"/>
                </w:tcPr>
                <w:p>
                  <w:r>
                    <w:rPr>
                      <w:rFonts w:hint="eastAsia"/>
                    </w:rPr>
                    <w:t>采购部</w:t>
                  </w:r>
                </w:p>
              </w:tc>
              <w:tc>
                <w:tcPr>
                  <w:tcW w:w="2261" w:type="dxa"/>
                  <w:vAlign w:val="center"/>
                </w:tcPr>
                <w:p>
                  <w:r>
                    <w:rPr>
                      <w:rFonts w:hint="eastAsia"/>
                    </w:rPr>
                    <w:t>产品/服务提供过程</w:t>
                  </w:r>
                </w:p>
              </w:tc>
              <w:tc>
                <w:tcPr>
                  <w:tcW w:w="2261" w:type="dxa"/>
                  <w:vAlign w:val="center"/>
                </w:tcPr>
                <w:p>
                  <w:r>
                    <w:rPr>
                      <w:rFonts w:hint="eastAsia"/>
                    </w:rPr>
                    <w:t>餐饮部（厨房）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r>
                    <w:rPr>
                      <w:rFonts w:hint="eastAsia"/>
                    </w:rPr>
                    <w:t>消防</w:t>
                  </w:r>
                </w:p>
              </w:tc>
              <w:tc>
                <w:tcPr>
                  <w:tcW w:w="2261" w:type="dxa"/>
                  <w:vAlign w:val="center"/>
                </w:tcPr>
                <w:p>
                  <w:r>
                    <w:rPr>
                      <w:rFonts w:hint="eastAsia"/>
                    </w:rPr>
                    <w:t>办公室</w:t>
                  </w:r>
                </w:p>
              </w:tc>
              <w:tc>
                <w:tcPr>
                  <w:tcW w:w="2261" w:type="dxa"/>
                  <w:vAlign w:val="center"/>
                </w:tcPr>
                <w:p>
                  <w:r>
                    <w:rPr>
                      <w:rFonts w:hint="eastAsia"/>
                    </w:rPr>
                    <w:t>员工代表</w:t>
                  </w:r>
                </w:p>
              </w:tc>
              <w:tc>
                <w:tcPr>
                  <w:tcW w:w="2261" w:type="dxa"/>
                  <w:vAlign w:val="center"/>
                </w:tcPr>
                <w:p>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王闪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6"/>
            <w:r>
              <w:rPr>
                <w:rFonts w:hint="eastAsia" w:ascii="Arial" w:hAnsi="Arial"/>
              </w:rPr>
              <w:t>工作人员的协商和参与</w:t>
            </w:r>
            <w:bookmarkEnd w:id="2"/>
          </w:p>
        </w:tc>
        <w:tc>
          <w:tcPr>
            <w:tcW w:w="960" w:type="dxa"/>
            <w:vMerge w:val="restart"/>
          </w:tcPr>
          <w:p>
            <w:r>
              <w:rPr>
                <w:rFonts w:hint="eastAsia"/>
              </w:rPr>
              <w:t>O5.4  </w:t>
            </w:r>
          </w:p>
        </w:tc>
        <w:tc>
          <w:tcPr>
            <w:tcW w:w="745" w:type="dxa"/>
          </w:tcPr>
          <w:p>
            <w:r>
              <w:rPr>
                <w:rFonts w:hint="eastAsia"/>
              </w:rPr>
              <w:t>文件名称</w:t>
            </w:r>
          </w:p>
        </w:tc>
        <w:tc>
          <w:tcPr>
            <w:tcW w:w="9259" w:type="dxa"/>
          </w:tcPr>
          <w:p>
            <w:r>
              <w:rPr>
                <w:rFonts w:hint="eastAsia"/>
              </w:rPr>
              <w:t>如：管理手册、《</w:t>
            </w:r>
            <w:r>
              <w:rPr>
                <w:rFonts w:hint="eastAsia" w:ascii="Arial" w:hAnsi="Arial"/>
              </w:rPr>
              <w:t>信息沟通控制程序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sym w:font="Wingdings" w:char="00FE"/>
            </w:r>
            <w:r>
              <w:rPr>
                <w:rFonts w:hint="eastAsia"/>
              </w:rPr>
              <w:t>员工代表：</w:t>
            </w:r>
            <w:r>
              <w:rPr>
                <w:rFonts w:hint="eastAsia"/>
                <w:u w:val="single"/>
              </w:rPr>
              <w:t xml:space="preserve">  彭祥云  </w:t>
            </w:r>
            <w:r>
              <w:rPr>
                <w:rFonts w:hint="eastAsia"/>
              </w:rPr>
              <w:sym w:font="Wingdings" w:char="00FE"/>
            </w:r>
            <w:r>
              <w:rPr>
                <w:rFonts w:hint="eastAsia"/>
              </w:rPr>
              <w:t>共</w:t>
            </w:r>
            <w:r>
              <w:rPr>
                <w:rFonts w:hint="eastAsia"/>
                <w:u w:val="single"/>
              </w:rPr>
              <w:t xml:space="preserve">  1  </w:t>
            </w:r>
            <w:r>
              <w:rPr>
                <w:rFonts w:hint="eastAsia"/>
              </w:rPr>
              <w:t>名</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203"/>
              <w:gridCol w:w="1567"/>
              <w:gridCol w:w="112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pPr>
                    <w:jc w:val="center"/>
                  </w:pPr>
                  <w:r>
                    <w:rPr>
                      <w:rFonts w:hint="eastAsia"/>
                    </w:rPr>
                    <w:t>协商参与机制</w:t>
                  </w:r>
                </w:p>
              </w:tc>
              <w:tc>
                <w:tcPr>
                  <w:tcW w:w="1203" w:type="dxa"/>
                  <w:shd w:val="clear" w:color="auto" w:fill="auto"/>
                  <w:vAlign w:val="center"/>
                </w:tcPr>
                <w:p>
                  <w:pPr>
                    <w:jc w:val="center"/>
                  </w:pPr>
                  <w:r>
                    <w:rPr>
                      <w:rFonts w:hint="eastAsia"/>
                    </w:rPr>
                    <w:t>协商时间</w:t>
                  </w:r>
                </w:p>
              </w:tc>
              <w:tc>
                <w:tcPr>
                  <w:tcW w:w="1567" w:type="dxa"/>
                  <w:shd w:val="clear" w:color="auto" w:fill="auto"/>
                  <w:vAlign w:val="center"/>
                </w:tcPr>
                <w:p>
                  <w:pPr>
                    <w:jc w:val="center"/>
                  </w:pPr>
                  <w:r>
                    <w:rPr>
                      <w:rFonts w:hint="eastAsia"/>
                    </w:rPr>
                    <w:t>培训</w:t>
                  </w:r>
                </w:p>
              </w:tc>
              <w:tc>
                <w:tcPr>
                  <w:tcW w:w="1124" w:type="dxa"/>
                  <w:shd w:val="clear" w:color="auto" w:fill="auto"/>
                  <w:vAlign w:val="center"/>
                </w:tcPr>
                <w:p>
                  <w:pPr>
                    <w:jc w:val="center"/>
                  </w:pPr>
                  <w:r>
                    <w:rPr>
                      <w:rFonts w:hint="eastAsia"/>
                    </w:rPr>
                    <w:t>资源</w:t>
                  </w:r>
                </w:p>
              </w:tc>
              <w:tc>
                <w:tcPr>
                  <w:tcW w:w="1276" w:type="dxa"/>
                  <w:shd w:val="clear" w:color="auto" w:fill="auto"/>
                  <w:vAlign w:val="center"/>
                </w:tcPr>
                <w:p>
                  <w:pPr>
                    <w:jc w:val="center"/>
                  </w:pPr>
                  <w:r>
                    <w:rPr>
                      <w:rFonts w:hint="eastAsia"/>
                    </w:rPr>
                    <w:t>访问渠道</w:t>
                  </w:r>
                </w:p>
              </w:tc>
              <w:tc>
                <w:tcPr>
                  <w:tcW w:w="1843" w:type="dxa"/>
                  <w:shd w:val="clear" w:color="auto" w:fill="auto"/>
                  <w:vAlign w:val="center"/>
                </w:tcPr>
                <w:p>
                  <w:pPr>
                    <w:jc w:val="center"/>
                  </w:pPr>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选举工作人员代表</w:t>
                  </w:r>
                </w:p>
              </w:tc>
              <w:tc>
                <w:tcPr>
                  <w:tcW w:w="1203" w:type="dxa"/>
                  <w:shd w:val="clear" w:color="auto" w:fill="auto"/>
                  <w:vAlign w:val="center"/>
                </w:tcPr>
                <w:p>
                  <w:r>
                    <w:rPr>
                      <w:rFonts w:hint="eastAsia"/>
                    </w:rPr>
                    <w:t>每年</w:t>
                  </w:r>
                </w:p>
              </w:tc>
              <w:tc>
                <w:tcPr>
                  <w:tcW w:w="1567" w:type="dxa"/>
                  <w:shd w:val="clear" w:color="auto" w:fill="auto"/>
                  <w:vAlign w:val="center"/>
                </w:tcPr>
                <w:p>
                  <w:r>
                    <w:rPr>
                      <w:rFonts w:hint="eastAsia"/>
                    </w:rPr>
                    <w:t>每年一次</w:t>
                  </w:r>
                </w:p>
              </w:tc>
              <w:tc>
                <w:tcPr>
                  <w:tcW w:w="1124" w:type="dxa"/>
                  <w:shd w:val="clear" w:color="auto" w:fill="auto"/>
                  <w:vAlign w:val="center"/>
                </w:tcPr>
                <w:p>
                  <w:r>
                    <w:rPr>
                      <w:rFonts w:hint="eastAsia"/>
                    </w:rPr>
                    <w:t>提供资金、场所</w:t>
                  </w:r>
                </w:p>
              </w:tc>
              <w:tc>
                <w:tcPr>
                  <w:tcW w:w="1276" w:type="dxa"/>
                  <w:shd w:val="clear" w:color="auto" w:fill="auto"/>
                  <w:vAlign w:val="center"/>
                </w:tcPr>
                <w:p>
                  <w:r>
                    <w:rPr>
                      <w:rFonts w:hint="eastAsia"/>
                    </w:rPr>
                    <w:t>会议</w:t>
                  </w:r>
                </w:p>
              </w:tc>
              <w:tc>
                <w:tcPr>
                  <w:tcW w:w="1843"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合理化建议</w:t>
                  </w:r>
                </w:p>
              </w:tc>
              <w:tc>
                <w:tcPr>
                  <w:tcW w:w="1203" w:type="dxa"/>
                  <w:shd w:val="clear" w:color="auto" w:fill="auto"/>
                  <w:vAlign w:val="center"/>
                </w:tcPr>
                <w:p>
                  <w:r>
                    <w:rPr>
                      <w:rFonts w:hint="eastAsia"/>
                    </w:rPr>
                    <w:t>随时</w:t>
                  </w:r>
                </w:p>
              </w:tc>
              <w:tc>
                <w:tcPr>
                  <w:tcW w:w="1567" w:type="dxa"/>
                  <w:shd w:val="clear" w:color="auto" w:fill="auto"/>
                  <w:vAlign w:val="center"/>
                </w:tcPr>
                <w:p>
                  <w:r>
                    <w:rPr>
                      <w:rFonts w:hint="eastAsia"/>
                    </w:rPr>
                    <w:t>按照公司安排</w:t>
                  </w:r>
                </w:p>
              </w:tc>
              <w:tc>
                <w:tcPr>
                  <w:tcW w:w="1124" w:type="dxa"/>
                  <w:shd w:val="clear" w:color="auto" w:fill="auto"/>
                  <w:vAlign w:val="center"/>
                </w:tcPr>
                <w:p>
                  <w:r>
                    <w:rPr>
                      <w:rFonts w:hint="eastAsia"/>
                    </w:rPr>
                    <w:t>意见箱</w:t>
                  </w:r>
                </w:p>
              </w:tc>
              <w:tc>
                <w:tcPr>
                  <w:tcW w:w="1276" w:type="dxa"/>
                  <w:shd w:val="clear" w:color="auto" w:fill="auto"/>
                  <w:vAlign w:val="center"/>
                </w:tcPr>
                <w:p>
                  <w:r>
                    <w:rPr>
                      <w:rFonts w:hint="eastAsia"/>
                    </w:rPr>
                    <w:t>面谈</w:t>
                  </w:r>
                </w:p>
              </w:tc>
              <w:tc>
                <w:tcPr>
                  <w:tcW w:w="1843"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重大变化</w:t>
                  </w:r>
                </w:p>
              </w:tc>
              <w:tc>
                <w:tcPr>
                  <w:tcW w:w="1203" w:type="dxa"/>
                  <w:shd w:val="clear" w:color="auto" w:fill="auto"/>
                  <w:vAlign w:val="center"/>
                </w:tcPr>
                <w:p>
                  <w:r>
                    <w:rPr>
                      <w:rFonts w:hint="eastAsia"/>
                    </w:rPr>
                    <w:t>发生前</w:t>
                  </w:r>
                </w:p>
              </w:tc>
              <w:tc>
                <w:tcPr>
                  <w:tcW w:w="1567" w:type="dxa"/>
                  <w:shd w:val="clear" w:color="auto" w:fill="auto"/>
                  <w:vAlign w:val="center"/>
                </w:tcPr>
                <w:p>
                  <w:r>
                    <w:rPr>
                      <w:rFonts w:hint="eastAsia"/>
                    </w:rPr>
                    <w:t>按照公司安排</w:t>
                  </w:r>
                </w:p>
              </w:tc>
              <w:tc>
                <w:tcPr>
                  <w:tcW w:w="1124" w:type="dxa"/>
                  <w:shd w:val="clear" w:color="auto" w:fill="auto"/>
                  <w:vAlign w:val="center"/>
                </w:tcPr>
                <w:p>
                  <w:r>
                    <w:rPr>
                      <w:rFonts w:hint="eastAsia"/>
                    </w:rPr>
                    <w:t>会议室</w:t>
                  </w:r>
                </w:p>
              </w:tc>
              <w:tc>
                <w:tcPr>
                  <w:tcW w:w="1276" w:type="dxa"/>
                  <w:shd w:val="clear" w:color="auto" w:fill="auto"/>
                  <w:vAlign w:val="center"/>
                </w:tcPr>
                <w:p>
                  <w:r>
                    <w:rPr>
                      <w:rFonts w:hint="eastAsia"/>
                    </w:rPr>
                    <w:t>面谈、会议</w:t>
                  </w:r>
                </w:p>
              </w:tc>
              <w:tc>
                <w:tcPr>
                  <w:tcW w:w="1843" w:type="dxa"/>
                  <w:shd w:val="clear" w:color="auto" w:fill="auto"/>
                  <w:vAlign w:val="center"/>
                </w:tcPr>
                <w:p>
                  <w:r>
                    <w:rPr>
                      <w:rFonts w:hint="eastAsia"/>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center"/>
                </w:tcPr>
                <w:p>
                  <w:r>
                    <w:rPr>
                      <w:rFonts w:hint="eastAsia"/>
                    </w:rPr>
                    <w:t>工伤事件</w:t>
                  </w:r>
                </w:p>
              </w:tc>
              <w:tc>
                <w:tcPr>
                  <w:tcW w:w="1203" w:type="dxa"/>
                  <w:shd w:val="clear" w:color="auto" w:fill="auto"/>
                  <w:vAlign w:val="center"/>
                </w:tcPr>
                <w:p>
                  <w:r>
                    <w:rPr>
                      <w:rFonts w:hint="eastAsia"/>
                    </w:rPr>
                    <w:t>调查时</w:t>
                  </w:r>
                </w:p>
              </w:tc>
              <w:tc>
                <w:tcPr>
                  <w:tcW w:w="1567" w:type="dxa"/>
                  <w:shd w:val="clear" w:color="auto" w:fill="auto"/>
                  <w:vAlign w:val="center"/>
                </w:tcPr>
                <w:p>
                  <w:r>
                    <w:rPr>
                      <w:rFonts w:hint="eastAsia"/>
                    </w:rPr>
                    <w:t>按照公司安排</w:t>
                  </w:r>
                </w:p>
              </w:tc>
              <w:tc>
                <w:tcPr>
                  <w:tcW w:w="1124" w:type="dxa"/>
                  <w:shd w:val="clear" w:color="auto" w:fill="auto"/>
                  <w:vAlign w:val="center"/>
                </w:tcPr>
                <w:p>
                  <w:r>
                    <w:rPr>
                      <w:rFonts w:hint="eastAsia"/>
                    </w:rPr>
                    <w:t>会议室</w:t>
                  </w:r>
                </w:p>
              </w:tc>
              <w:tc>
                <w:tcPr>
                  <w:tcW w:w="1276" w:type="dxa"/>
                  <w:shd w:val="clear" w:color="auto" w:fill="auto"/>
                  <w:vAlign w:val="center"/>
                </w:tcPr>
                <w:p>
                  <w:r>
                    <w:rPr>
                      <w:rFonts w:hint="eastAsia"/>
                    </w:rPr>
                    <w:t>面谈、会议</w:t>
                  </w:r>
                </w:p>
              </w:tc>
              <w:tc>
                <w:tcPr>
                  <w:tcW w:w="1843" w:type="dxa"/>
                  <w:shd w:val="clear" w:color="auto" w:fill="auto"/>
                  <w:vAlign w:val="center"/>
                </w:tcPr>
                <w:p>
                  <w:r>
                    <w:rPr>
                      <w:rFonts w:hint="eastAsia"/>
                    </w:rPr>
                    <w:t>面谈、微信、电话</w:t>
                  </w:r>
                </w:p>
              </w:tc>
            </w:tr>
          </w:tbl>
          <w:p/>
          <w:p>
            <w:r>
              <w:rPr>
                <w:rFonts w:hint="eastAsia"/>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center"/>
                  </w:pPr>
                  <w:r>
                    <w:rPr>
                      <w:rFonts w:hint="eastAsia"/>
                    </w:rPr>
                    <w:t>协商的内容</w:t>
                  </w:r>
                </w:p>
              </w:tc>
              <w:tc>
                <w:tcPr>
                  <w:tcW w:w="2105" w:type="dxa"/>
                  <w:vAlign w:val="center"/>
                </w:tcPr>
                <w:p>
                  <w:pPr>
                    <w:jc w:val="center"/>
                  </w:pPr>
                  <w:r>
                    <w:rPr>
                      <w:rFonts w:hint="eastAsia"/>
                    </w:rPr>
                    <w:t>协商的时机</w:t>
                  </w:r>
                </w:p>
              </w:tc>
              <w:tc>
                <w:tcPr>
                  <w:tcW w:w="2689" w:type="dxa"/>
                  <w:vAlign w:val="center"/>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r>
              <w:rPr>
                <w:rFonts w:hint="eastAsia"/>
              </w:rPr>
              <w:t>与非管理类工作人员在如下方面的参与：</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center"/>
                  </w:pPr>
                  <w:r>
                    <w:rPr>
                      <w:rFonts w:hint="eastAsia"/>
                    </w:rPr>
                    <w:t>参与的内容</w:t>
                  </w:r>
                </w:p>
              </w:tc>
              <w:tc>
                <w:tcPr>
                  <w:tcW w:w="2105" w:type="dxa"/>
                  <w:vAlign w:val="center"/>
                </w:tcPr>
                <w:p>
                  <w:pPr>
                    <w:jc w:val="center"/>
                  </w:pPr>
                  <w:r>
                    <w:rPr>
                      <w:rFonts w:hint="eastAsia"/>
                    </w:rPr>
                    <w:t>参与的时机</w:t>
                  </w:r>
                </w:p>
              </w:tc>
              <w:tc>
                <w:tcPr>
                  <w:tcW w:w="2689" w:type="dxa"/>
                  <w:vAlign w:val="center"/>
                </w:tcPr>
                <w:p>
                  <w:pPr>
                    <w:jc w:val="center"/>
                  </w:pPr>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vAlign w:val="center"/>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60" w:type="dxa"/>
            <w:vMerge w:val="restart"/>
          </w:tcPr>
          <w:p>
            <w:r>
              <w:rPr>
                <w:rFonts w:hint="eastAsia"/>
                <w:color w:val="000000"/>
                <w:szCs w:val="21"/>
              </w:rPr>
              <w:t>O6.1  </w:t>
            </w:r>
          </w:p>
        </w:tc>
        <w:tc>
          <w:tcPr>
            <w:tcW w:w="745" w:type="dxa"/>
          </w:tcPr>
          <w:p>
            <w:r>
              <w:rPr>
                <w:rFonts w:hint="eastAsia"/>
              </w:rPr>
              <w:t>文件名称</w:t>
            </w:r>
          </w:p>
        </w:tc>
        <w:tc>
          <w:tcPr>
            <w:tcW w:w="9259" w:type="dxa"/>
            <w:vAlign w:val="center"/>
          </w:tcPr>
          <w:p>
            <w:r>
              <w:rPr>
                <w:rFonts w:hint="eastAsia"/>
              </w:rPr>
              <w:t>如：《</w:t>
            </w:r>
            <w:r>
              <w:rPr>
                <w:rFonts w:hint="eastAsia"/>
                <w:color w:val="000000"/>
                <w:szCs w:val="21"/>
              </w:rPr>
              <w:t>风险与机遇控制程序</w:t>
            </w:r>
            <w:r>
              <w:rPr>
                <w:rFonts w:hint="eastAsia"/>
              </w:rPr>
              <w:t>》、管理手册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ind w:firstLine="420"/>
              <w:rPr>
                <w:highlight w:val="cyan"/>
              </w:rPr>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列举2~3项应对主要风险的描述：         </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944" w:type="dxa"/>
                  <w:vAlign w:val="center"/>
                </w:tcPr>
                <w:p>
                  <w:pPr>
                    <w:jc w:val="center"/>
                  </w:pPr>
                  <w:r>
                    <w:rPr>
                      <w:rFonts w:hint="eastAsia"/>
                    </w:rPr>
                    <w:t>主要的风险描述</w:t>
                  </w:r>
                </w:p>
              </w:tc>
              <w:tc>
                <w:tcPr>
                  <w:tcW w:w="4861"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r>
                    <w:rPr>
                      <w:rFonts w:hint="eastAsia" w:ascii="宋体" w:hAnsi="宋体" w:cs="宋体"/>
                      <w:kern w:val="0"/>
                      <w:sz w:val="20"/>
                    </w:rPr>
                    <w:t>人员素质参差不齐，健康意识不强，对岗位健康体检认识不足，控制方法不明确</w:t>
                  </w:r>
                </w:p>
              </w:tc>
              <w:tc>
                <w:tcPr>
                  <w:tcW w:w="4861" w:type="dxa"/>
                  <w:vAlign w:val="center"/>
                </w:tcPr>
                <w:p>
                  <w:pPr>
                    <w:rPr>
                      <w:rFonts w:ascii="宋体" w:hAnsi="宋体" w:cs="宋体"/>
                      <w:kern w:val="0"/>
                      <w:sz w:val="20"/>
                    </w:rPr>
                  </w:pPr>
                  <w:r>
                    <w:rPr>
                      <w:rFonts w:hint="eastAsia" w:ascii="宋体" w:hAnsi="宋体" w:cs="宋体"/>
                      <w:kern w:val="0"/>
                      <w:sz w:val="20"/>
                    </w:rPr>
                    <w:t>1、制定相应管理文件，</w:t>
                  </w:r>
                </w:p>
                <w:p>
                  <w:r>
                    <w:rPr>
                      <w:rFonts w:hint="eastAsia" w:ascii="宋体" w:hAnsi="宋体" w:cs="宋体"/>
                      <w:kern w:val="0"/>
                      <w:sz w:val="20"/>
                    </w:rPr>
                    <w:t>2、组织员工健康体检，培训人员健康状况对企业经营和正常运行的重要性</w:t>
                  </w:r>
                </w:p>
              </w:tc>
              <w:tc>
                <w:tcPr>
                  <w:tcW w:w="1717" w:type="dxa"/>
                  <w:vAlign w:val="center"/>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rPr>
                      <w:szCs w:val="24"/>
                    </w:rPr>
                  </w:pPr>
                  <w:r>
                    <w:rPr>
                      <w:rFonts w:hint="eastAsia" w:ascii="宋体" w:hAnsi="宋体" w:cs="宋体"/>
                      <w:kern w:val="0"/>
                      <w:sz w:val="20"/>
                    </w:rPr>
                    <w:t>顾客对产品质量、环保和安全比较关注</w:t>
                  </w:r>
                </w:p>
              </w:tc>
              <w:tc>
                <w:tcPr>
                  <w:tcW w:w="4861" w:type="dxa"/>
                  <w:vAlign w:val="center"/>
                </w:tcPr>
                <w:p>
                  <w:r>
                    <w:rPr>
                      <w:rFonts w:hint="eastAsia" w:ascii="宋体" w:hAnsi="宋体" w:cs="宋体"/>
                      <w:kern w:val="0"/>
                      <w:sz w:val="20"/>
                    </w:rPr>
                    <w:t>加大对原材料及加工环节的管理和检测力度</w:t>
                  </w:r>
                </w:p>
              </w:tc>
              <w:tc>
                <w:tcPr>
                  <w:tcW w:w="1717" w:type="dxa"/>
                  <w:vAlign w:val="center"/>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r>
              <w:rPr>
                <w:rFonts w:hint="eastAsia"/>
              </w:rPr>
              <w:t>列举2~3项应对重要机遇的描述：</w:t>
            </w:r>
          </w:p>
          <w:tbl>
            <w:tblPr>
              <w:tblStyle w:val="7"/>
              <w:tblpPr w:leftFromText="180" w:rightFromText="180" w:vertAnchor="text" w:horzAnchor="page" w:tblpX="106" w:tblpY="206"/>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jc w:val="center"/>
                  </w:pPr>
                  <w:r>
                    <w:rPr>
                      <w:rFonts w:hint="eastAsia"/>
                    </w:rPr>
                    <w:t>主要的机遇描述</w:t>
                  </w:r>
                </w:p>
              </w:tc>
              <w:tc>
                <w:tcPr>
                  <w:tcW w:w="3969" w:type="dxa"/>
                  <w:vAlign w:val="center"/>
                </w:tcPr>
                <w:p>
                  <w:pPr>
                    <w:jc w:val="center"/>
                    <w:rPr>
                      <w:szCs w:val="24"/>
                    </w:rPr>
                  </w:pPr>
                  <w:r>
                    <w:rPr>
                      <w:rFonts w:hint="eastAsia"/>
                    </w:rPr>
                    <w:t>应对措施</w:t>
                  </w:r>
                </w:p>
              </w:tc>
              <w:tc>
                <w:tcPr>
                  <w:tcW w:w="1842"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r>
                    <w:rPr>
                      <w:rFonts w:hint="eastAsia" w:ascii="宋体" w:hAnsi="宋体" w:cs="宋体"/>
                      <w:b/>
                      <w:bCs/>
                      <w:kern w:val="0"/>
                      <w:sz w:val="20"/>
                    </w:rPr>
                    <w:t>对依法合规经营的要求越来越高，部分不达标企业将被市场淘汰</w:t>
                  </w:r>
                </w:p>
              </w:tc>
              <w:tc>
                <w:tcPr>
                  <w:tcW w:w="3969" w:type="dxa"/>
                </w:tcPr>
                <w:p>
                  <w:r>
                    <w:rPr>
                      <w:rFonts w:hint="eastAsia"/>
                    </w:rPr>
                    <w:t>加强对法规的学习和执行力度，依法合规经营，树立公司的良好形象，增强竞争力</w:t>
                  </w:r>
                </w:p>
              </w:tc>
              <w:tc>
                <w:tcPr>
                  <w:tcW w:w="1842" w:type="dxa"/>
                  <w:vAlign w:val="center"/>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FE"/>
            </w:r>
            <w:r>
              <w:rPr>
                <w:rFonts w:hint="eastAsia"/>
                <w:u w:val="single"/>
              </w:rPr>
              <w:t xml:space="preserve">触电 </w:t>
            </w:r>
            <w:r>
              <w:rPr>
                <w:rFonts w:hint="eastAsia"/>
                <w:u w:val="single"/>
              </w:rPr>
              <w:sym w:font="Wingdings" w:char="00FE"/>
            </w:r>
            <w:r>
              <w:rPr>
                <w:u w:val="single"/>
              </w:rPr>
              <w:t xml:space="preserve"> </w:t>
            </w:r>
            <w:r>
              <w:rPr>
                <w:rFonts w:hint="eastAsia"/>
                <w:u w:val="single"/>
              </w:rPr>
              <w:t xml:space="preserve">机具伤害 </w:t>
            </w:r>
            <w:r>
              <w:rPr>
                <w:rFonts w:hint="eastAsia"/>
                <w:u w:val="single"/>
              </w:rPr>
              <w:sym w:font="Wingdings" w:char="00FE"/>
            </w:r>
            <w:r>
              <w:rPr>
                <w:rFonts w:hint="eastAsia"/>
                <w:u w:val="single"/>
              </w:rPr>
              <w:t xml:space="preserve">烫伤 </w:t>
            </w:r>
            <w:r>
              <w:rPr>
                <w:rFonts w:hint="eastAsia"/>
                <w:u w:val="single"/>
              </w:rPr>
              <w:sym w:font="Wingdings" w:char="00FE"/>
            </w:r>
            <w:r>
              <w:rPr>
                <w:rFonts w:hint="eastAsia"/>
                <w:u w:val="single"/>
              </w:rPr>
              <w:t xml:space="preserve">食物中毒 </w:t>
            </w:r>
            <w:r>
              <w:rPr>
                <w:u w:val="single"/>
              </w:rPr>
              <w:t xml:space="preserve"> </w:t>
            </w:r>
            <w:r>
              <w:rPr>
                <w:rFonts w:hint="eastAsia"/>
                <w:u w:val="single"/>
              </w:rPr>
              <w:sym w:font="Wingdings" w:char="00FE"/>
            </w:r>
            <w:r>
              <w:rPr>
                <w:rFonts w:hint="eastAsia"/>
                <w:u w:val="single"/>
              </w:rPr>
              <w:t xml:space="preserve">疫情传播 </w:t>
            </w:r>
            <w:r>
              <w:rPr>
                <w:u w:val="single"/>
              </w:rPr>
              <w:t xml:space="preserve"> </w:t>
            </w:r>
            <w:r>
              <w:rPr>
                <w:rFonts w:hint="eastAsia"/>
                <w:u w:val="single"/>
              </w:rPr>
              <w:sym w:font="Wingdings" w:char="00A8"/>
            </w:r>
            <w:r>
              <w:rPr>
                <w:rFonts w:hint="eastAsia"/>
                <w:u w:val="single"/>
              </w:rPr>
              <w:t xml:space="preserve">发生工伤  </w:t>
            </w:r>
            <w:r>
              <w:rPr>
                <w:rFonts w:hint="eastAsia"/>
                <w:u w:val="single"/>
              </w:rPr>
              <w:sym w:font="Wingdings" w:char="00A8"/>
            </w:r>
            <w:r>
              <w:rPr>
                <w:rFonts w:hint="eastAsia"/>
                <w:u w:val="single"/>
              </w:rPr>
              <w:t xml:space="preserve">锅炉爆炸 </w:t>
            </w:r>
            <w:r>
              <w:rPr>
                <w:u w:val="single"/>
              </w:rPr>
              <w:t xml:space="preserve"> </w:t>
            </w:r>
            <w:r>
              <w:rPr>
                <w:rFonts w:hint="eastAsia"/>
                <w:u w:val="single"/>
              </w:rPr>
              <w:sym w:font="Wingdings" w:char="00A8"/>
            </w:r>
            <w:r>
              <w:rPr>
                <w:rFonts w:hint="eastAsia"/>
                <w:u w:val="single"/>
              </w:rPr>
              <w:t xml:space="preserve">职业病产生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危险源辨识</w:t>
            </w:r>
          </w:p>
        </w:tc>
        <w:tc>
          <w:tcPr>
            <w:tcW w:w="960" w:type="dxa"/>
            <w:vMerge w:val="restart"/>
          </w:tcPr>
          <w:p>
            <w:r>
              <w:rPr>
                <w:rFonts w:hint="eastAsia"/>
                <w:color w:val="000000"/>
                <w:szCs w:val="21"/>
              </w:rPr>
              <w:t>O6.1.2.1 </w:t>
            </w:r>
          </w:p>
        </w:tc>
        <w:tc>
          <w:tcPr>
            <w:tcW w:w="745" w:type="dxa"/>
          </w:tcPr>
          <w:p>
            <w:r>
              <w:rPr>
                <w:rFonts w:hint="eastAsia"/>
              </w:rPr>
              <w:t>文件名称</w:t>
            </w:r>
          </w:p>
        </w:tc>
        <w:tc>
          <w:tcPr>
            <w:tcW w:w="9259" w:type="dxa"/>
            <w:vAlign w:val="center"/>
          </w:tcPr>
          <w:p>
            <w:r>
              <w:rPr>
                <w:rFonts w:hint="eastAsia"/>
              </w:rPr>
              <w:t>如：手册第6.1.2条款、《危险源辨识、风险评价和控制措施的确定程序》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组织在辨识危险源和相关的职业健康安全风险时，已考虑下列因素：</w:t>
            </w:r>
          </w:p>
          <w:p>
            <w:pPr>
              <w:rPr>
                <w:color w:val="000000"/>
              </w:rPr>
            </w:pPr>
            <w:r>
              <w:rPr>
                <w:color w:val="000000"/>
              </w:rPr>
              <w:sym w:font="Wingdings" w:char="00FE"/>
            </w:r>
            <w:r>
              <w:rPr>
                <w:rFonts w:hint="eastAsia"/>
              </w:rPr>
              <w:t xml:space="preserve">社会因素  </w:t>
            </w:r>
            <w:r>
              <w:rPr>
                <w:color w:val="000000"/>
              </w:rPr>
              <w:sym w:font="Wingdings" w:char="00FE"/>
            </w:r>
            <w:r>
              <w:rPr>
                <w:rFonts w:hint="eastAsia"/>
              </w:rPr>
              <w:t xml:space="preserve">领导作用  </w:t>
            </w:r>
            <w:r>
              <w:rPr>
                <w:color w:val="000000"/>
              </w:rPr>
              <w:sym w:font="Wingdings" w:char="00FE"/>
            </w:r>
            <w:r>
              <w:rPr>
                <w:rFonts w:hint="eastAsia"/>
              </w:rPr>
              <w:t xml:space="preserve">组织的文化  </w:t>
            </w:r>
            <w:r>
              <w:rPr>
                <w:color w:val="000000"/>
              </w:rPr>
              <w:sym w:font="Wingdings" w:char="00FE"/>
            </w:r>
            <w:r>
              <w:rPr>
                <w:rFonts w:hint="eastAsia"/>
                <w:color w:val="000000"/>
              </w:rPr>
              <w:t xml:space="preserve">常规活动和状况   </w:t>
            </w:r>
            <w:r>
              <w:rPr>
                <w:color w:val="000000"/>
              </w:rPr>
              <w:sym w:font="Wingdings" w:char="00FE"/>
            </w:r>
            <w:r>
              <w:rPr>
                <w:rFonts w:hint="eastAsia"/>
                <w:color w:val="000000"/>
              </w:rPr>
              <w:t xml:space="preserve">非常规活动和状况  </w:t>
            </w:r>
          </w:p>
          <w:p>
            <w:r>
              <w:rPr>
                <w:color w:val="000000"/>
              </w:rPr>
              <w:sym w:font="Wingdings" w:char="00FE"/>
            </w:r>
            <w:r>
              <w:rPr>
                <w:rFonts w:hint="eastAsia"/>
              </w:rPr>
              <w:t>内部</w:t>
            </w:r>
            <w:r>
              <w:t>或</w:t>
            </w:r>
            <w:r>
              <w:rPr>
                <w:rFonts w:hint="eastAsia"/>
              </w:rPr>
              <w:t>外部以往发生的相关事件</w:t>
            </w:r>
            <w:r>
              <w:rPr>
                <w:rFonts w:hint="eastAsia"/>
                <w:color w:val="000000"/>
              </w:rPr>
              <w:t xml:space="preserve">   </w:t>
            </w:r>
            <w:r>
              <w:rPr>
                <w:color w:val="000000"/>
              </w:rPr>
              <w:sym w:font="Wingdings" w:char="00FE"/>
            </w:r>
            <w:r>
              <w:rPr>
                <w:rFonts w:hint="eastAsia"/>
              </w:rPr>
              <w:t>潜在的紧急情况</w:t>
            </w:r>
            <w:r>
              <w:rPr>
                <w:rFonts w:hint="eastAsia"/>
                <w:color w:val="000000"/>
              </w:rPr>
              <w:t xml:space="preserve">   </w:t>
            </w:r>
            <w:r>
              <w:rPr>
                <w:color w:val="000000"/>
              </w:rPr>
              <w:sym w:font="Wingdings" w:char="00FE"/>
            </w:r>
            <w:r>
              <w:rPr>
                <w:rFonts w:hint="eastAsia"/>
                <w:color w:val="000000"/>
              </w:rPr>
              <w:t xml:space="preserve">内部员工   </w:t>
            </w:r>
            <w:r>
              <w:rPr>
                <w:color w:val="000000"/>
              </w:rPr>
              <w:sym w:font="Wingdings" w:char="00FE"/>
            </w:r>
            <w:r>
              <w:rPr>
                <w:rFonts w:hint="eastAsia"/>
                <w:color w:val="000000"/>
              </w:rPr>
              <w:t xml:space="preserve">相关方人员  </w:t>
            </w:r>
          </w:p>
          <w:p>
            <w:r>
              <w:rPr>
                <w:color w:val="000000"/>
              </w:rPr>
              <w:sym w:font="Wingdings" w:char="00FE"/>
            </w:r>
            <w:r>
              <w:rPr>
                <w:rFonts w:hint="eastAsia"/>
              </w:rPr>
              <w:t>工作场所附近</w:t>
            </w:r>
            <w:r>
              <w:t>的状况</w:t>
            </w:r>
            <w:r>
              <w:rPr>
                <w:rFonts w:hint="eastAsia"/>
              </w:rPr>
              <w:t xml:space="preserve">  </w:t>
            </w:r>
            <w:r>
              <w:rPr>
                <w:color w:val="000000"/>
              </w:rPr>
              <w:sym w:font="Wingdings" w:char="00FE"/>
            </w:r>
            <w:r>
              <w:rPr>
                <w:rFonts w:hint="eastAsia"/>
              </w:rPr>
              <w:t xml:space="preserve">实际或拟定的变更  </w:t>
            </w:r>
            <w:r>
              <w:rPr>
                <w:color w:val="000000"/>
              </w:rPr>
              <w:sym w:font="Wingdings" w:char="00FE"/>
            </w:r>
            <w:r>
              <w:rPr>
                <w:rFonts w:hint="eastAsia"/>
              </w:rPr>
              <w:t xml:space="preserve">危险源的知识和相关信息的变更 </w:t>
            </w:r>
            <w:r>
              <w:t xml:space="preserve"> </w:t>
            </w:r>
            <w:r>
              <w:rPr>
                <w:color w:val="000000"/>
              </w:rPr>
              <w:sym w:font="Wingdings" w:char="00A8"/>
            </w:r>
            <w:r>
              <w:rPr>
                <w:rFonts w:hint="eastAsia"/>
                <w:color w:val="000000"/>
              </w:rPr>
              <w:t>其他</w:t>
            </w:r>
          </w:p>
          <w:p/>
          <w:p>
            <w:r>
              <w:rPr>
                <w:rFonts w:hint="eastAsia"/>
              </w:rPr>
              <w:t>危险源辨识考虑了下列过程：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产品储存  </w:t>
            </w:r>
            <w:r>
              <w:rPr>
                <w:color w:val="000000"/>
              </w:rPr>
              <w:sym w:font="Wingdings" w:char="00A8"/>
            </w:r>
            <w:r>
              <w:rPr>
                <w:rFonts w:hint="eastAsia"/>
                <w:color w:val="000000"/>
              </w:rPr>
              <w:t xml:space="preserve">产品交付  </w:t>
            </w:r>
          </w:p>
          <w:p>
            <w:r>
              <w:rPr>
                <w:color w:val="000000"/>
              </w:rPr>
              <w:sym w:font="Wingdings" w:char="00A8"/>
            </w:r>
            <w:r>
              <w:rPr>
                <w:rFonts w:hint="eastAsia"/>
                <w:color w:val="000000"/>
              </w:rPr>
              <w:t xml:space="preserve">辅助活动   </w:t>
            </w:r>
            <w:r>
              <w:rPr>
                <w:color w:val="000000"/>
              </w:rPr>
              <w:sym w:font="Wingdings" w:char="00A8"/>
            </w:r>
            <w:r>
              <w:rPr>
                <w:rFonts w:hint="eastAsia"/>
                <w:color w:val="000000"/>
              </w:rPr>
              <w:t xml:space="preserve">公用工程   </w:t>
            </w:r>
            <w:r>
              <w:rPr>
                <w:color w:val="000000"/>
              </w:rPr>
              <w:sym w:font="Wingdings" w:char="00A8"/>
            </w:r>
            <w:r>
              <w:rPr>
                <w:rFonts w:hint="eastAsia"/>
                <w:color w:val="000000"/>
              </w:rPr>
              <w:t>其他——</w:t>
            </w:r>
          </w:p>
          <w:p>
            <w:pPr>
              <w:rPr>
                <w:b/>
                <w:bCs/>
              </w:rPr>
            </w:pPr>
          </w:p>
          <w:p>
            <w:pPr>
              <w:rPr>
                <w:b/>
                <w:bCs/>
              </w:rPr>
            </w:pPr>
            <w:r>
              <w:rPr>
                <w:rFonts w:hint="eastAsia"/>
                <w:b/>
                <w:bCs/>
              </w:rPr>
              <w:t xml:space="preserve">组织的重大危险源包括：    </w:t>
            </w:r>
          </w:p>
          <w:tbl>
            <w:tblPr>
              <w:tblStyle w:val="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161"/>
              <w:gridCol w:w="39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jc w:val="center"/>
                    <w:rPr>
                      <w:rFonts w:ascii="宋体" w:hAnsi="宋体"/>
                      <w:szCs w:val="24"/>
                    </w:rPr>
                  </w:pPr>
                  <w:r>
                    <w:rPr>
                      <w:rFonts w:hint="eastAsia"/>
                      <w:b/>
                      <w:bCs/>
                    </w:rPr>
                    <w:t>重大危险源</w:t>
                  </w:r>
                </w:p>
              </w:tc>
              <w:tc>
                <w:tcPr>
                  <w:tcW w:w="2161" w:type="dxa"/>
                  <w:shd w:val="clear" w:color="auto" w:fill="auto"/>
                  <w:vAlign w:val="center"/>
                </w:tcPr>
                <w:p>
                  <w:pPr>
                    <w:jc w:val="center"/>
                    <w:rPr>
                      <w:rFonts w:ascii="宋体" w:hAnsi="宋体"/>
                      <w:szCs w:val="24"/>
                    </w:rPr>
                  </w:pPr>
                  <w:r>
                    <w:rPr>
                      <w:rFonts w:hint="eastAsia" w:ascii="宋体" w:hAnsi="宋体"/>
                      <w:szCs w:val="24"/>
                    </w:rPr>
                    <w:t>职业健康安全风险</w:t>
                  </w:r>
                </w:p>
              </w:tc>
              <w:tc>
                <w:tcPr>
                  <w:tcW w:w="3969" w:type="dxa"/>
                  <w:shd w:val="clear" w:color="auto" w:fill="auto"/>
                  <w:vAlign w:val="center"/>
                </w:tcPr>
                <w:p>
                  <w:pPr>
                    <w:jc w:val="center"/>
                    <w:rPr>
                      <w:rFonts w:ascii="宋体" w:hAnsi="宋体"/>
                      <w:szCs w:val="24"/>
                    </w:rPr>
                  </w:pPr>
                  <w:r>
                    <w:rPr>
                      <w:rFonts w:hint="eastAsia"/>
                    </w:rPr>
                    <w:t>控制措施</w:t>
                  </w:r>
                </w:p>
              </w:tc>
              <w:tc>
                <w:tcPr>
                  <w:tcW w:w="1309" w:type="dxa"/>
                  <w:shd w:val="clear" w:color="auto" w:fill="auto"/>
                  <w:vAlign w:val="center"/>
                </w:tcPr>
                <w:p>
                  <w:pPr>
                    <w:jc w:val="cente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触电</w:t>
                  </w:r>
                </w:p>
              </w:tc>
              <w:tc>
                <w:tcPr>
                  <w:tcW w:w="2161" w:type="dxa"/>
                  <w:shd w:val="clear" w:color="auto" w:fill="auto"/>
                  <w:vAlign w:val="center"/>
                </w:tcPr>
                <w:p>
                  <w:pPr>
                    <w:rPr>
                      <w:szCs w:val="24"/>
                      <w:lang w:val="en-GB"/>
                    </w:rPr>
                  </w:pPr>
                  <w:r>
                    <w:rPr>
                      <w:rFonts w:hint="eastAsia"/>
                      <w:color w:val="000000"/>
                    </w:rPr>
                    <w:t>触电</w:t>
                  </w:r>
                </w:p>
              </w:tc>
              <w:tc>
                <w:tcPr>
                  <w:tcW w:w="3969" w:type="dxa"/>
                  <w:shd w:val="clear" w:color="auto" w:fill="auto"/>
                  <w:vAlign w:val="center"/>
                </w:tcPr>
                <w:p>
                  <w:pPr>
                    <w:jc w:val="left"/>
                    <w:rPr>
                      <w:szCs w:val="21"/>
                    </w:rPr>
                  </w:pPr>
                  <w:r>
                    <w:rPr>
                      <w:rFonts w:hint="eastAsia"/>
                      <w:szCs w:val="21"/>
                    </w:rPr>
                    <w:t>定期对电线线路等设施进行检查</w:t>
                  </w:r>
                </w:p>
                <w:p>
                  <w:pPr>
                    <w:rPr>
                      <w:szCs w:val="24"/>
                      <w:lang w:val="en-GB"/>
                    </w:rPr>
                  </w:pPr>
                  <w:r>
                    <w:rPr>
                      <w:rFonts w:hint="eastAsia"/>
                      <w:szCs w:val="21"/>
                    </w:rPr>
                    <w:t>加强人员安全用电的相关培训</w:t>
                  </w:r>
                </w:p>
              </w:tc>
              <w:tc>
                <w:tcPr>
                  <w:tcW w:w="1309" w:type="dxa"/>
                  <w:shd w:val="clear" w:color="auto" w:fill="auto"/>
                  <w:vAlign w:val="center"/>
                </w:tcPr>
                <w:p>
                  <w:pPr>
                    <w:jc w:val="center"/>
                    <w:rPr>
                      <w:rFonts w:ascii="宋体" w:hAnsi="宋体"/>
                      <w:lang w:val="en-GB"/>
                    </w:rPr>
                  </w:pPr>
                  <w:r>
                    <w:rPr>
                      <w:rFonts w:hint="eastAsia" w:ascii="宋体" w:hAnsi="宋体"/>
                      <w:lang w:val="en-GB"/>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火灾</w:t>
                  </w:r>
                </w:p>
              </w:tc>
              <w:tc>
                <w:tcPr>
                  <w:tcW w:w="2161" w:type="dxa"/>
                  <w:shd w:val="clear" w:color="auto" w:fill="auto"/>
                  <w:vAlign w:val="center"/>
                </w:tcPr>
                <w:p>
                  <w:pPr>
                    <w:rPr>
                      <w:rFonts w:ascii="宋体" w:hAnsi="宋体"/>
                      <w:szCs w:val="24"/>
                    </w:rPr>
                  </w:pPr>
                  <w:r>
                    <w:rPr>
                      <w:rFonts w:hint="eastAsia" w:ascii="宋体" w:hAnsi="宋体"/>
                      <w:szCs w:val="24"/>
                    </w:rPr>
                    <w:t>火灾、爆炸</w:t>
                  </w:r>
                </w:p>
              </w:tc>
              <w:tc>
                <w:tcPr>
                  <w:tcW w:w="3969" w:type="dxa"/>
                  <w:shd w:val="clear" w:color="auto" w:fill="auto"/>
                  <w:vAlign w:val="center"/>
                </w:tcPr>
                <w:p>
                  <w:pPr>
                    <w:jc w:val="left"/>
                    <w:rPr>
                      <w:szCs w:val="21"/>
                    </w:rPr>
                  </w:pPr>
                  <w:r>
                    <w:rPr>
                      <w:rFonts w:hint="eastAsia"/>
                      <w:szCs w:val="21"/>
                    </w:rPr>
                    <w:t>操作现场禁止吸烟，安全用电</w:t>
                  </w:r>
                </w:p>
                <w:p>
                  <w:pPr>
                    <w:jc w:val="left"/>
                    <w:rPr>
                      <w:szCs w:val="21"/>
                    </w:rPr>
                  </w:pPr>
                  <w:r>
                    <w:rPr>
                      <w:rFonts w:hint="eastAsia"/>
                      <w:szCs w:val="21"/>
                    </w:rPr>
                    <w:t>配备必要的消防安全设施</w:t>
                  </w:r>
                </w:p>
                <w:p>
                  <w:pPr>
                    <w:rPr>
                      <w:rFonts w:ascii="宋体" w:hAnsi="宋体"/>
                      <w:szCs w:val="24"/>
                    </w:rPr>
                  </w:pPr>
                  <w:r>
                    <w:rPr>
                      <w:rFonts w:hint="eastAsia"/>
                      <w:szCs w:val="21"/>
                    </w:rPr>
                    <w:t>进行必要的应急救援演练</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机具伤害</w:t>
                  </w:r>
                </w:p>
              </w:tc>
              <w:tc>
                <w:tcPr>
                  <w:tcW w:w="2161" w:type="dxa"/>
                  <w:shd w:val="clear" w:color="auto" w:fill="auto"/>
                  <w:vAlign w:val="center"/>
                </w:tcPr>
                <w:p>
                  <w:pPr>
                    <w:rPr>
                      <w:rFonts w:ascii="宋体" w:hAnsi="宋体"/>
                      <w:szCs w:val="24"/>
                    </w:rPr>
                  </w:pPr>
                  <w:r>
                    <w:rPr>
                      <w:rFonts w:hint="eastAsia" w:ascii="宋体" w:hAnsi="宋体"/>
                      <w:szCs w:val="24"/>
                    </w:rPr>
                    <w:t>人身伤害</w:t>
                  </w:r>
                </w:p>
              </w:tc>
              <w:tc>
                <w:tcPr>
                  <w:tcW w:w="3969" w:type="dxa"/>
                  <w:shd w:val="clear" w:color="auto" w:fill="auto"/>
                  <w:vAlign w:val="center"/>
                </w:tcPr>
                <w:p>
                  <w:pPr>
                    <w:rPr>
                      <w:rFonts w:ascii="宋体" w:hAnsi="宋体"/>
                      <w:szCs w:val="24"/>
                    </w:rPr>
                  </w:pPr>
                  <w:r>
                    <w:rPr>
                      <w:rFonts w:hint="eastAsia"/>
                    </w:rPr>
                    <w:t>加强人员防护，按规程操作，选用安全性高的设备</w:t>
                  </w:r>
                </w:p>
              </w:tc>
              <w:tc>
                <w:tcPr>
                  <w:tcW w:w="1309" w:type="dxa"/>
                  <w:shd w:val="clear" w:color="auto" w:fill="auto"/>
                  <w:vAlign w:val="center"/>
                </w:tcPr>
                <w:p>
                  <w:pPr>
                    <w:jc w:val="center"/>
                    <w:rPr>
                      <w:rFonts w:ascii="宋体" w:hAnsi="宋体"/>
                    </w:rPr>
                  </w:pPr>
                  <w:r>
                    <w:rPr>
                      <w:rFonts w:hint="eastAsia" w:ascii="宋体" w:hAnsi="宋体"/>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烫伤</w:t>
                  </w:r>
                </w:p>
              </w:tc>
              <w:tc>
                <w:tcPr>
                  <w:tcW w:w="2161" w:type="dxa"/>
                  <w:shd w:val="clear" w:color="auto" w:fill="auto"/>
                  <w:vAlign w:val="center"/>
                </w:tcPr>
                <w:p>
                  <w:pPr>
                    <w:rPr>
                      <w:rFonts w:ascii="宋体" w:hAnsi="宋体"/>
                      <w:szCs w:val="24"/>
                    </w:rPr>
                  </w:pPr>
                  <w:r>
                    <w:rPr>
                      <w:rFonts w:hint="eastAsia" w:ascii="宋体" w:hAnsi="宋体"/>
                      <w:szCs w:val="24"/>
                    </w:rPr>
                    <w:t>人身伤害</w:t>
                  </w:r>
                </w:p>
              </w:tc>
              <w:tc>
                <w:tcPr>
                  <w:tcW w:w="3969" w:type="dxa"/>
                  <w:shd w:val="clear" w:color="auto" w:fill="auto"/>
                  <w:vAlign w:val="center"/>
                </w:tcPr>
                <w:p>
                  <w:pPr>
                    <w:rPr>
                      <w:rFonts w:ascii="宋体" w:hAnsi="宋体"/>
                      <w:szCs w:val="24"/>
                    </w:rPr>
                  </w:pPr>
                  <w:r>
                    <w:rPr>
                      <w:rFonts w:hint="eastAsia" w:ascii="宋体" w:hAnsi="宋体"/>
                      <w:szCs w:val="21"/>
                    </w:rPr>
                    <w:t>安装和维护设备防护措施，定期保养，穿戴劳保用品</w:t>
                  </w:r>
                </w:p>
              </w:tc>
              <w:tc>
                <w:tcPr>
                  <w:tcW w:w="1309" w:type="dxa"/>
                  <w:shd w:val="clear" w:color="auto" w:fill="auto"/>
                  <w:vAlign w:val="center"/>
                </w:tcPr>
                <w:p>
                  <w:pPr>
                    <w:jc w:val="center"/>
                    <w:rPr>
                      <w:rFonts w:ascii="宋体" w:hAnsi="宋体"/>
                    </w:rPr>
                  </w:pPr>
                  <w:r>
                    <w:rPr>
                      <w:rFonts w:hint="eastAsia" w:ascii="宋体" w:hAnsi="宋体"/>
                    </w:rPr>
                    <w:t>餐饮部</w:t>
                  </w:r>
                </w:p>
              </w:tc>
            </w:tr>
          </w:tbl>
          <w:p>
            <w:pPr>
              <w:rPr>
                <w:b/>
                <w:bCs/>
              </w:rPr>
            </w:pPr>
          </w:p>
          <w:p>
            <w:pPr>
              <w:rPr>
                <w:b/>
                <w:bCs/>
              </w:rPr>
            </w:pPr>
            <w:r>
              <w:rPr>
                <w:rFonts w:hint="eastAsia"/>
                <w:b/>
                <w:bCs/>
              </w:rPr>
              <w:t>组织的重要危险源包括：</w:t>
            </w:r>
          </w:p>
          <w:p>
            <w:r>
              <w:rPr>
                <w:rFonts w:hint="eastAsia"/>
              </w:rPr>
              <w:t>机械伤害：</w:t>
            </w:r>
            <w:r>
              <w:rPr>
                <w:color w:val="000000"/>
              </w:rPr>
              <w:sym w:font="Wingdings" w:char="00FE"/>
            </w:r>
            <w:r>
              <w:rPr>
                <w:rFonts w:hint="eastAsia"/>
                <w:color w:val="000000"/>
              </w:rPr>
              <w:t xml:space="preserve">物体打击   </w:t>
            </w:r>
            <w:r>
              <w:rPr>
                <w:color w:val="000000"/>
              </w:rPr>
              <w:sym w:font="Wingdings" w:char="00A8"/>
            </w:r>
            <w:r>
              <w:rPr>
                <w:rFonts w:hint="eastAsia"/>
                <w:color w:val="000000"/>
              </w:rPr>
              <w:t xml:space="preserve">高空落物   </w:t>
            </w:r>
            <w:r>
              <w:rPr>
                <w:color w:val="000000"/>
              </w:rPr>
              <w:sym w:font="Wingdings" w:char="00A8"/>
            </w:r>
            <w:r>
              <w:rPr>
                <w:rFonts w:hint="eastAsia"/>
                <w:color w:val="000000"/>
              </w:rPr>
              <w:t xml:space="preserve">高空坠落   </w:t>
            </w:r>
            <w:r>
              <w:rPr>
                <w:color w:val="000000"/>
              </w:rPr>
              <w:sym w:font="Wingdings" w:char="00FE"/>
            </w:r>
            <w:r>
              <w:rPr>
                <w:rFonts w:hint="eastAsia"/>
                <w:color w:val="000000"/>
              </w:rPr>
              <w:t xml:space="preserve">车辆撞人  </w:t>
            </w:r>
            <w:r>
              <w:rPr>
                <w:color w:val="000000"/>
              </w:rPr>
              <w:sym w:font="Wingdings" w:char="00FE"/>
            </w:r>
            <w:r>
              <w:rPr>
                <w:rFonts w:hint="eastAsia"/>
                <w:color w:val="000000"/>
              </w:rPr>
              <w:t xml:space="preserve"> 机具伤害 </w:t>
            </w:r>
            <w:r>
              <w:rPr>
                <w:color w:val="000000"/>
              </w:rPr>
              <w:t xml:space="preserve"> </w:t>
            </w:r>
            <w:r>
              <w:rPr>
                <w:color w:val="000000"/>
              </w:rPr>
              <w:sym w:font="Wingdings" w:char="00A8"/>
            </w:r>
            <w:r>
              <w:rPr>
                <w:rFonts w:hint="eastAsia"/>
                <w:color w:val="000000"/>
              </w:rPr>
              <w:t>其他——</w:t>
            </w:r>
          </w:p>
          <w:p>
            <w:pPr>
              <w:rPr>
                <w:color w:val="000000"/>
                <w:szCs w:val="18"/>
              </w:rPr>
            </w:pPr>
            <w:r>
              <w:rPr>
                <w:rFonts w:hint="eastAsia"/>
                <w:color w:val="000000"/>
                <w:szCs w:val="18"/>
              </w:rPr>
              <w:t>化学伤害：</w:t>
            </w:r>
            <w:r>
              <w:rPr>
                <w:color w:val="000000"/>
              </w:rPr>
              <w:sym w:font="Wingdings" w:char="00A8"/>
            </w:r>
            <w:r>
              <w:rPr>
                <w:rFonts w:hint="eastAsia"/>
                <w:color w:val="000000"/>
              </w:rPr>
              <w:t xml:space="preserve">中毒 </w:t>
            </w:r>
            <w:r>
              <w:rPr>
                <w:color w:val="000000"/>
              </w:rPr>
              <w:sym w:font="Wingdings" w:char="00A8"/>
            </w:r>
            <w:r>
              <w:rPr>
                <w:rFonts w:hint="eastAsia"/>
                <w:color w:val="000000"/>
              </w:rPr>
              <w:t xml:space="preserve">灼烧  </w:t>
            </w:r>
            <w:r>
              <w:rPr>
                <w:color w:val="000000"/>
              </w:rPr>
              <w:sym w:font="Wingdings" w:char="00A8"/>
            </w:r>
            <w:r>
              <w:rPr>
                <w:rFonts w:hint="eastAsia"/>
                <w:color w:val="000000"/>
              </w:rPr>
              <w:t xml:space="preserve">粉尘     </w:t>
            </w:r>
            <w:r>
              <w:rPr>
                <w:color w:val="000000"/>
              </w:rPr>
              <w:sym w:font="Wingdings" w:char="00A8"/>
            </w:r>
            <w:r>
              <w:rPr>
                <w:rFonts w:hint="eastAsia"/>
                <w:color w:val="000000"/>
              </w:rPr>
              <w:t>其他——</w:t>
            </w:r>
          </w:p>
          <w:p>
            <w:pPr>
              <w:rPr>
                <w:color w:val="000000"/>
                <w:szCs w:val="18"/>
              </w:rPr>
            </w:pPr>
            <w:r>
              <w:rPr>
                <w:rFonts w:hint="eastAsia"/>
                <w:color w:val="000000"/>
                <w:szCs w:val="18"/>
              </w:rPr>
              <w:t>冷热伤害：</w:t>
            </w:r>
            <w:r>
              <w:rPr>
                <w:color w:val="000000"/>
              </w:rPr>
              <w:sym w:font="Wingdings" w:char="00FE"/>
            </w:r>
            <w:r>
              <w:rPr>
                <w:rFonts w:hint="eastAsia"/>
                <w:color w:val="000000"/>
              </w:rPr>
              <w:t xml:space="preserve">烫伤 </w:t>
            </w:r>
            <w:r>
              <w:rPr>
                <w:color w:val="000000"/>
              </w:rPr>
              <w:sym w:font="Wingdings" w:char="00FE"/>
            </w:r>
            <w:r>
              <w:rPr>
                <w:rFonts w:hint="eastAsia"/>
                <w:color w:val="000000"/>
              </w:rPr>
              <w:t xml:space="preserve">中暑  </w:t>
            </w:r>
            <w:r>
              <w:rPr>
                <w:color w:val="000000"/>
              </w:rPr>
              <w:sym w:font="Wingdings" w:char="00A8"/>
            </w:r>
            <w:r>
              <w:rPr>
                <w:rFonts w:hint="eastAsia"/>
                <w:color w:val="000000"/>
              </w:rPr>
              <w:t>冻伤</w:t>
            </w:r>
          </w:p>
          <w:p>
            <w:pPr>
              <w:rPr>
                <w:color w:val="000000"/>
              </w:rPr>
            </w:pPr>
            <w:r>
              <w:rPr>
                <w:rFonts w:hint="eastAsia"/>
                <w:color w:val="000000"/>
                <w:szCs w:val="18"/>
              </w:rPr>
              <w:t>电的伤害：</w:t>
            </w:r>
            <w:r>
              <w:rPr>
                <w:color w:val="000000"/>
              </w:rPr>
              <w:sym w:font="Wingdings" w:char="00FE"/>
            </w:r>
            <w:r>
              <w:rPr>
                <w:rFonts w:hint="eastAsia"/>
                <w:color w:val="000000"/>
              </w:rPr>
              <w:t xml:space="preserve">触电 </w:t>
            </w:r>
            <w:r>
              <w:rPr>
                <w:color w:val="000000"/>
              </w:rPr>
              <w:sym w:font="Wingdings" w:char="00A8"/>
            </w:r>
            <w:r>
              <w:rPr>
                <w:rFonts w:hint="eastAsia"/>
                <w:color w:val="000000"/>
              </w:rPr>
              <w:t xml:space="preserve">雷击    </w:t>
            </w:r>
            <w:r>
              <w:rPr>
                <w:color w:val="000000"/>
              </w:rPr>
              <w:sym w:font="Wingdings" w:char="00A8"/>
            </w:r>
            <w:r>
              <w:rPr>
                <w:rFonts w:hint="eastAsia"/>
                <w:color w:val="000000"/>
              </w:rPr>
              <w:t>其他——</w:t>
            </w:r>
          </w:p>
          <w:p>
            <w:pPr>
              <w:rPr>
                <w:color w:val="000000"/>
              </w:rPr>
            </w:pPr>
            <w:r>
              <w:rPr>
                <w:rFonts w:hint="eastAsia"/>
              </w:rPr>
              <w:t>火灾伤害：</w:t>
            </w:r>
            <w:r>
              <w:rPr>
                <w:color w:val="000000"/>
              </w:rPr>
              <w:sym w:font="Wingdings" w:char="00FE"/>
            </w:r>
            <w:r>
              <w:rPr>
                <w:rFonts w:hint="eastAsia"/>
                <w:color w:val="000000"/>
              </w:rPr>
              <w:t xml:space="preserve">火灾 </w:t>
            </w:r>
            <w:r>
              <w:rPr>
                <w:color w:val="000000"/>
              </w:rPr>
              <w:t xml:space="preserve"> </w:t>
            </w:r>
            <w:r>
              <w:rPr>
                <w:color w:val="000000"/>
              </w:rPr>
              <w:sym w:font="Wingdings" w:char="00FE"/>
            </w:r>
            <w:r>
              <w:rPr>
                <w:rFonts w:hint="eastAsia"/>
                <w:color w:val="000000"/>
              </w:rPr>
              <w:t xml:space="preserve">爆炸 </w:t>
            </w:r>
            <w:r>
              <w:rPr>
                <w:color w:val="000000"/>
              </w:rPr>
              <w:sym w:font="Wingdings" w:char="00FE"/>
            </w:r>
            <w:r>
              <w:rPr>
                <w:rFonts w:hint="eastAsia"/>
                <w:color w:val="000000"/>
              </w:rPr>
              <w:t xml:space="preserve">灼烧  </w:t>
            </w:r>
          </w:p>
          <w:p>
            <w:pPr>
              <w:rPr>
                <w:color w:val="000000"/>
              </w:rPr>
            </w:pPr>
            <w:r>
              <w:rPr>
                <w:rFonts w:hint="eastAsia"/>
                <w:color w:val="000000"/>
              </w:rPr>
              <w:t>声音伤害：</w:t>
            </w:r>
            <w:r>
              <w:rPr>
                <w:color w:val="000000"/>
              </w:rPr>
              <w:sym w:font="Wingdings" w:char="00A8"/>
            </w:r>
            <w:r>
              <w:rPr>
                <w:color w:val="000000"/>
              </w:rPr>
              <w:t xml:space="preserve"> </w:t>
            </w:r>
            <w:r>
              <w:rPr>
                <w:rFonts w:hint="eastAsia"/>
                <w:color w:val="000000"/>
              </w:rPr>
              <w:t xml:space="preserve">噪声 </w:t>
            </w:r>
          </w:p>
          <w:p>
            <w:r>
              <w:rPr>
                <w:rFonts w:hint="eastAsia"/>
              </w:rPr>
              <w:t xml:space="preserve">   </w:t>
            </w:r>
          </w:p>
          <w:p>
            <w:pPr>
              <w:rPr>
                <w:u w:val="single"/>
              </w:rPr>
            </w:pPr>
            <w:r>
              <w:rPr>
                <w:rFonts w:hint="eastAsia"/>
              </w:rPr>
              <w:t>评价不可接受风险的准则：《危险源和环境因素辨识、评价控制程序》</w:t>
            </w:r>
            <w:r>
              <w:rPr>
                <w:rFonts w:hint="eastAsia"/>
                <w:u w:val="single"/>
              </w:rPr>
              <w:t xml:space="preserve">LEC法  </w:t>
            </w:r>
          </w:p>
          <w:p>
            <w:pPr>
              <w:rPr>
                <w:b/>
                <w:bCs/>
              </w:rPr>
            </w:pPr>
          </w:p>
          <w:p>
            <w:pPr>
              <w:rPr>
                <w:b/>
                <w:bCs/>
              </w:rPr>
            </w:pPr>
            <w:r>
              <w:rPr>
                <w:rFonts w:hint="eastAsia"/>
                <w:b/>
                <w:bCs/>
              </w:rPr>
              <w:t xml:space="preserve">组织的重要危险源包括：    </w:t>
            </w:r>
          </w:p>
          <w:tbl>
            <w:tblPr>
              <w:tblStyle w:val="6"/>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000"/>
              <w:gridCol w:w="43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jc w:val="center"/>
                    <w:rPr>
                      <w:szCs w:val="22"/>
                    </w:rPr>
                  </w:pPr>
                  <w:r>
                    <w:rPr>
                      <w:rFonts w:hint="eastAsia"/>
                      <w:szCs w:val="22"/>
                    </w:rPr>
                    <w:t>重大危险源</w:t>
                  </w:r>
                </w:p>
              </w:tc>
              <w:tc>
                <w:tcPr>
                  <w:tcW w:w="2000" w:type="dxa"/>
                  <w:shd w:val="clear" w:color="auto" w:fill="auto"/>
                </w:tcPr>
                <w:p>
                  <w:pPr>
                    <w:jc w:val="center"/>
                    <w:rPr>
                      <w:szCs w:val="22"/>
                    </w:rPr>
                  </w:pPr>
                  <w:r>
                    <w:rPr>
                      <w:rFonts w:hint="eastAsia"/>
                      <w:szCs w:val="22"/>
                    </w:rPr>
                    <w:t>职业健康安全风险</w:t>
                  </w:r>
                </w:p>
              </w:tc>
              <w:tc>
                <w:tcPr>
                  <w:tcW w:w="4309" w:type="dxa"/>
                  <w:shd w:val="clear" w:color="auto" w:fill="auto"/>
                </w:tcPr>
                <w:p>
                  <w:pPr>
                    <w:jc w:val="center"/>
                    <w:rPr>
                      <w:szCs w:val="22"/>
                    </w:rPr>
                  </w:pPr>
                  <w:r>
                    <w:rPr>
                      <w:rFonts w:hint="eastAsia"/>
                      <w:szCs w:val="22"/>
                    </w:rPr>
                    <w:t>控制措施</w:t>
                  </w:r>
                </w:p>
              </w:tc>
              <w:tc>
                <w:tcPr>
                  <w:tcW w:w="1418" w:type="dxa"/>
                </w:tcPr>
                <w:p>
                  <w:pPr>
                    <w:jc w:val="center"/>
                    <w:rPr>
                      <w:szCs w:val="22"/>
                    </w:rPr>
                  </w:pPr>
                  <w:r>
                    <w:rPr>
                      <w:rFonts w:hint="eastAsia"/>
                      <w:szCs w:val="2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center"/>
                </w:tcPr>
                <w:p>
                  <w:pPr>
                    <w:rPr>
                      <w:szCs w:val="22"/>
                    </w:rPr>
                  </w:pPr>
                  <w:r>
                    <w:rPr>
                      <w:rFonts w:hint="eastAsia"/>
                    </w:rPr>
                    <w:t>疫情传播</w:t>
                  </w:r>
                </w:p>
              </w:tc>
              <w:tc>
                <w:tcPr>
                  <w:tcW w:w="2000" w:type="dxa"/>
                  <w:shd w:val="clear" w:color="auto" w:fill="auto"/>
                  <w:vAlign w:val="center"/>
                </w:tcPr>
                <w:p>
                  <w:pPr>
                    <w:rPr>
                      <w:szCs w:val="22"/>
                      <w:lang w:val="en-GB"/>
                    </w:rPr>
                  </w:pPr>
                  <w:r>
                    <w:rPr>
                      <w:rFonts w:hint="eastAsia" w:ascii="宋体" w:hAnsi="宋体"/>
                      <w:szCs w:val="24"/>
                    </w:rPr>
                    <w:t>人身伤害</w:t>
                  </w:r>
                </w:p>
              </w:tc>
              <w:tc>
                <w:tcPr>
                  <w:tcW w:w="4309" w:type="dxa"/>
                  <w:shd w:val="clear" w:color="auto" w:fill="auto"/>
                  <w:vAlign w:val="center"/>
                </w:tcPr>
                <w:p>
                  <w:pPr>
                    <w:rPr>
                      <w:szCs w:val="22"/>
                      <w:lang w:val="en-GB"/>
                    </w:rPr>
                  </w:pPr>
                  <w:r>
                    <w:rPr>
                      <w:rFonts w:hint="eastAsia"/>
                      <w:szCs w:val="21"/>
                    </w:rPr>
                    <w:t>加强人员防护、准备防疫物资，开展疫情防控的培训；定期组织健康检查</w:t>
                  </w:r>
                </w:p>
              </w:tc>
              <w:tc>
                <w:tcPr>
                  <w:tcW w:w="1418" w:type="dxa"/>
                  <w:vAlign w:val="center"/>
                </w:tcPr>
                <w:p>
                  <w:pPr>
                    <w:jc w:val="center"/>
                    <w:rPr>
                      <w:szCs w:val="21"/>
                    </w:rPr>
                  </w:pPr>
                  <w:r>
                    <w:rPr>
                      <w:rFonts w:hint="eastAsia"/>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vAlign w:val="center"/>
                </w:tcPr>
                <w:p>
                  <w:pPr>
                    <w:rPr>
                      <w:szCs w:val="22"/>
                    </w:rPr>
                  </w:pPr>
                  <w:r>
                    <w:rPr>
                      <w:rFonts w:hint="eastAsia"/>
                      <w:szCs w:val="22"/>
                    </w:rPr>
                    <w:t>食物中毒</w:t>
                  </w:r>
                </w:p>
              </w:tc>
              <w:tc>
                <w:tcPr>
                  <w:tcW w:w="2000" w:type="dxa"/>
                  <w:shd w:val="clear" w:color="auto" w:fill="auto"/>
                  <w:vAlign w:val="center"/>
                </w:tcPr>
                <w:p>
                  <w:pPr>
                    <w:rPr>
                      <w:szCs w:val="22"/>
                      <w:lang w:val="en-GB"/>
                    </w:rPr>
                  </w:pPr>
                  <w:r>
                    <w:rPr>
                      <w:rFonts w:hint="eastAsia" w:ascii="宋体" w:hAnsi="宋体"/>
                      <w:szCs w:val="24"/>
                    </w:rPr>
                    <w:t>人身伤害</w:t>
                  </w:r>
                </w:p>
              </w:tc>
              <w:tc>
                <w:tcPr>
                  <w:tcW w:w="4309" w:type="dxa"/>
                  <w:shd w:val="clear" w:color="auto" w:fill="auto"/>
                </w:tcPr>
                <w:p>
                  <w:pPr>
                    <w:jc w:val="left"/>
                    <w:rPr>
                      <w:szCs w:val="22"/>
                      <w:lang w:val="en-GB"/>
                    </w:rPr>
                  </w:pPr>
                  <w:r>
                    <w:rPr>
                      <w:rFonts w:hint="eastAsia" w:ascii="宋体" w:hAnsi="宋体"/>
                      <w:szCs w:val="21"/>
                    </w:rPr>
                    <w:t>采购新鲜原材料，及时加工处理，低温保存，妥善处置变质的食物；对质量存疑的物品上报质检部处理</w:t>
                  </w:r>
                </w:p>
              </w:tc>
              <w:tc>
                <w:tcPr>
                  <w:tcW w:w="1418" w:type="dxa"/>
                  <w:vAlign w:val="center"/>
                </w:tcPr>
                <w:p>
                  <w:pPr>
                    <w:jc w:val="center"/>
                    <w:rPr>
                      <w:szCs w:val="22"/>
                      <w:lang w:val="en-GB"/>
                    </w:rPr>
                  </w:pPr>
                  <w:r>
                    <w:rPr>
                      <w:rFonts w:hint="eastAsia"/>
                      <w:szCs w:val="22"/>
                      <w:lang w:val="en-GB"/>
                    </w:rPr>
                    <w:t>采购部</w:t>
                  </w:r>
                </w:p>
                <w:p>
                  <w:pPr>
                    <w:jc w:val="center"/>
                    <w:rPr>
                      <w:szCs w:val="22"/>
                      <w:lang w:val="en-GB"/>
                    </w:rPr>
                  </w:pPr>
                  <w:r>
                    <w:rPr>
                      <w:rFonts w:hint="eastAsia"/>
                      <w:szCs w:val="22"/>
                      <w:lang w:val="en-GB"/>
                    </w:rPr>
                    <w:t>餐饮部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 xml:space="preserve">职业健康安全风险和职业健康安全管理体系的其他风险的评价 </w:t>
            </w:r>
          </w:p>
        </w:tc>
        <w:tc>
          <w:tcPr>
            <w:tcW w:w="960" w:type="dxa"/>
            <w:vMerge w:val="restart"/>
          </w:tcPr>
          <w:p>
            <w:r>
              <w:rPr>
                <w:rFonts w:hint="eastAsia"/>
                <w:color w:val="000000"/>
                <w:szCs w:val="21"/>
              </w:rPr>
              <w:t>O6.1.2.2 </w:t>
            </w:r>
          </w:p>
        </w:tc>
        <w:tc>
          <w:tcPr>
            <w:tcW w:w="745" w:type="dxa"/>
          </w:tcPr>
          <w:p>
            <w:r>
              <w:rPr>
                <w:rFonts w:hint="eastAsia"/>
              </w:rPr>
              <w:t>文件名称</w:t>
            </w:r>
          </w:p>
        </w:tc>
        <w:tc>
          <w:tcPr>
            <w:tcW w:w="9259" w:type="dxa"/>
          </w:tcPr>
          <w:p>
            <w:r>
              <w:rPr>
                <w:rFonts w:hint="eastAsia"/>
              </w:rPr>
              <w:t>如：手册第6.1.4条款、《危险源辨识、风险评价和控制措施的确定程序》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tbl>
            <w:tblPr>
              <w:tblStyle w:val="6"/>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417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tcPr>
                <w:p>
                  <w:pPr>
                    <w:jc w:val="center"/>
                    <w:rPr>
                      <w:rFonts w:ascii="宋体" w:hAnsi="宋体"/>
                      <w:szCs w:val="24"/>
                    </w:rPr>
                  </w:pPr>
                  <w:r>
                    <w:rPr>
                      <w:rFonts w:hint="eastAsia"/>
                    </w:rPr>
                    <w:t>职业健康安全风险</w:t>
                  </w:r>
                </w:p>
              </w:tc>
              <w:tc>
                <w:tcPr>
                  <w:tcW w:w="4177" w:type="dxa"/>
                  <w:shd w:val="clear" w:color="auto" w:fill="auto"/>
                </w:tcPr>
                <w:p>
                  <w:pPr>
                    <w:jc w:val="center"/>
                    <w:rPr>
                      <w:rFonts w:ascii="宋体" w:hAnsi="宋体"/>
                      <w:szCs w:val="24"/>
                    </w:rPr>
                  </w:pPr>
                  <w:r>
                    <w:rPr>
                      <w:rFonts w:hint="eastAsia" w:ascii="宋体" w:hAnsi="宋体"/>
                      <w:szCs w:val="24"/>
                    </w:rPr>
                    <w:t>控制措施</w:t>
                  </w:r>
                </w:p>
              </w:tc>
              <w:tc>
                <w:tcPr>
                  <w:tcW w:w="1635" w:type="dxa"/>
                  <w:shd w:val="clear" w:color="auto" w:fill="auto"/>
                </w:tcPr>
                <w:p>
                  <w:pPr>
                    <w:jc w:val="cente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tcPr>
                <w:p>
                  <w:r>
                    <w:rPr>
                      <w:rFonts w:hint="eastAsia"/>
                    </w:rPr>
                    <w:t>评价已辨识的危险源职业健康安全风险</w:t>
                  </w:r>
                </w:p>
              </w:tc>
              <w:tc>
                <w:tcPr>
                  <w:tcW w:w="4177" w:type="dxa"/>
                  <w:shd w:val="clear" w:color="auto" w:fill="auto"/>
                  <w:vAlign w:val="center"/>
                </w:tcPr>
                <w:p>
                  <w:pPr>
                    <w:rPr>
                      <w:szCs w:val="24"/>
                    </w:rPr>
                  </w:pPr>
                  <w:r>
                    <w:rPr>
                      <w:rFonts w:hint="eastAsia"/>
                      <w:szCs w:val="24"/>
                    </w:rPr>
                    <w:t>制订和实施控制程序和安全操作规程；定期检查；有问题及时整改</w:t>
                  </w:r>
                </w:p>
              </w:tc>
              <w:tc>
                <w:tcPr>
                  <w:tcW w:w="1635" w:type="dxa"/>
                  <w:shd w:val="clear" w:color="auto" w:fill="auto"/>
                  <w:vAlign w:val="center"/>
                </w:tcPr>
                <w:p>
                  <w:pPr>
                    <w:jc w:val="center"/>
                    <w:rPr>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tcPr>
                <w:p>
                  <w:r>
                    <w:rPr>
                      <w:rFonts w:hint="eastAsia"/>
                    </w:rPr>
                    <w:t>评价现有控制的有效性</w:t>
                  </w:r>
                </w:p>
              </w:tc>
              <w:tc>
                <w:tcPr>
                  <w:tcW w:w="4177" w:type="dxa"/>
                  <w:shd w:val="clear" w:color="auto" w:fill="auto"/>
                  <w:vAlign w:val="center"/>
                </w:tcPr>
                <w:p>
                  <w:pPr>
                    <w:rPr>
                      <w:rFonts w:ascii="宋体" w:hAnsi="宋体"/>
                      <w:szCs w:val="24"/>
                    </w:rPr>
                  </w:pPr>
                  <w:r>
                    <w:rPr>
                      <w:rFonts w:hint="eastAsia" w:ascii="宋体" w:hAnsi="宋体"/>
                      <w:szCs w:val="24"/>
                    </w:rPr>
                    <w:t>目前控制措施有效</w:t>
                  </w:r>
                </w:p>
              </w:tc>
              <w:tc>
                <w:tcPr>
                  <w:tcW w:w="1635" w:type="dxa"/>
                  <w:shd w:val="clear" w:color="auto" w:fill="auto"/>
                  <w:vAlign w:val="center"/>
                </w:tcPr>
                <w:p>
                  <w:pPr>
                    <w:jc w:val="cente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tcPr>
                <w:p>
                  <w:r>
                    <w:rPr>
                      <w:rFonts w:hint="eastAsia"/>
                    </w:rPr>
                    <w:t>其他风险</w:t>
                  </w:r>
                </w:p>
              </w:tc>
              <w:tc>
                <w:tcPr>
                  <w:tcW w:w="4177" w:type="dxa"/>
                  <w:shd w:val="clear" w:color="auto" w:fill="auto"/>
                  <w:vAlign w:val="center"/>
                </w:tcPr>
                <w:p>
                  <w:pPr>
                    <w:rPr>
                      <w:rFonts w:ascii="宋体" w:hAnsi="宋体"/>
                      <w:szCs w:val="24"/>
                    </w:rPr>
                  </w:pPr>
                  <w:r>
                    <w:rPr>
                      <w:rFonts w:hint="eastAsia"/>
                      <w:szCs w:val="24"/>
                    </w:rPr>
                    <w:t>支持部门制订和实施控制程序</w:t>
                  </w:r>
                </w:p>
              </w:tc>
              <w:tc>
                <w:tcPr>
                  <w:tcW w:w="1635" w:type="dxa"/>
                  <w:shd w:val="clear" w:color="auto" w:fill="auto"/>
                  <w:vAlign w:val="center"/>
                </w:tcPr>
                <w:p>
                  <w:pPr>
                    <w:jc w:val="center"/>
                    <w:rPr>
                      <w:rFonts w:ascii="宋体" w:hAnsi="宋体"/>
                      <w:szCs w:val="24"/>
                    </w:rPr>
                  </w:pPr>
                  <w:r>
                    <w:rPr>
                      <w:rFonts w:hint="eastAsia" w:ascii="宋体" w:hAnsi="宋体"/>
                      <w:szCs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tcPr>
                <w:p/>
              </w:tc>
              <w:tc>
                <w:tcPr>
                  <w:tcW w:w="4177" w:type="dxa"/>
                  <w:shd w:val="clear" w:color="auto" w:fill="auto"/>
                  <w:vAlign w:val="center"/>
                </w:tcPr>
                <w:p>
                  <w:pPr>
                    <w:rPr>
                      <w:rFonts w:ascii="宋体" w:hAnsi="宋体"/>
                      <w:szCs w:val="24"/>
                    </w:rPr>
                  </w:pPr>
                </w:p>
              </w:tc>
              <w:tc>
                <w:tcPr>
                  <w:tcW w:w="1635" w:type="dxa"/>
                  <w:shd w:val="clear" w:color="auto" w:fill="auto"/>
                  <w:vAlign w:val="center"/>
                </w:tcPr>
                <w:p>
                  <w:pPr>
                    <w:rPr>
                      <w:rFonts w:ascii="宋体" w:hAnsi="宋体"/>
                      <w:szCs w:val="24"/>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2160" w:type="dxa"/>
            <w:vMerge w:val="restart"/>
          </w:tcPr>
          <w:p>
            <w:pPr>
              <w:pStyle w:val="16"/>
              <w:numPr>
                <w:ilvl w:val="4"/>
                <w:numId w:val="0"/>
              </w:numPr>
              <w:rPr>
                <w:rFonts w:eastAsia="宋体"/>
                <w:kern w:val="2"/>
                <w:szCs w:val="22"/>
              </w:rPr>
            </w:pPr>
            <w:r>
              <w:rPr>
                <w:rFonts w:hint="eastAsia" w:eastAsia="宋体"/>
                <w:kern w:val="2"/>
                <w:szCs w:val="22"/>
              </w:rPr>
              <w:t>职业健康安全机遇和职业健康安全管理体系的其他机遇的评价</w:t>
            </w:r>
          </w:p>
          <w:p>
            <w:r>
              <w:rPr>
                <w:rFonts w:hint="eastAsia"/>
              </w:rPr>
              <w:t xml:space="preserve"> </w:t>
            </w:r>
          </w:p>
        </w:tc>
        <w:tc>
          <w:tcPr>
            <w:tcW w:w="960" w:type="dxa"/>
            <w:vMerge w:val="restart"/>
          </w:tcPr>
          <w:p>
            <w:r>
              <w:rPr>
                <w:rFonts w:hint="eastAsia"/>
                <w:color w:val="000000"/>
                <w:szCs w:val="21"/>
              </w:rPr>
              <w:t>O6.1.2.3 </w:t>
            </w:r>
          </w:p>
        </w:tc>
        <w:tc>
          <w:tcPr>
            <w:tcW w:w="745" w:type="dxa"/>
          </w:tcPr>
          <w:p>
            <w:r>
              <w:rPr>
                <w:rFonts w:hint="eastAsia"/>
              </w:rPr>
              <w:t>文件名称</w:t>
            </w:r>
          </w:p>
        </w:tc>
        <w:tc>
          <w:tcPr>
            <w:tcW w:w="9259" w:type="dxa"/>
          </w:tcPr>
          <w:p>
            <w:r>
              <w:rPr>
                <w:rFonts w:hint="eastAsia"/>
              </w:rPr>
              <w:t>如：手册第6.1.2条款、《</w:t>
            </w:r>
            <w:r>
              <w:rPr>
                <w:rFonts w:hint="eastAsia"/>
                <w:szCs w:val="22"/>
              </w:rPr>
              <w:t>风险和机遇管制程序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tbl>
            <w:tblPr>
              <w:tblStyle w:val="6"/>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365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vAlign w:val="center"/>
                </w:tcPr>
                <w:p>
                  <w:pPr>
                    <w:jc w:val="center"/>
                    <w:rPr>
                      <w:rFonts w:ascii="宋体" w:hAnsi="宋体"/>
                      <w:szCs w:val="24"/>
                    </w:rPr>
                  </w:pPr>
                  <w:r>
                    <w:rPr>
                      <w:rFonts w:hint="eastAsia"/>
                    </w:rPr>
                    <w:t>职业健康安全绩效</w:t>
                  </w:r>
                </w:p>
              </w:tc>
              <w:tc>
                <w:tcPr>
                  <w:tcW w:w="3655" w:type="dxa"/>
                  <w:shd w:val="clear" w:color="auto" w:fill="auto"/>
                  <w:vAlign w:val="center"/>
                </w:tcPr>
                <w:p>
                  <w:pPr>
                    <w:jc w:val="center"/>
                    <w:rPr>
                      <w:rFonts w:ascii="宋体" w:hAnsi="宋体"/>
                      <w:szCs w:val="24"/>
                    </w:rPr>
                  </w:pPr>
                  <w:r>
                    <w:rPr>
                      <w:rFonts w:hint="eastAsia" w:ascii="宋体" w:hAnsi="宋体"/>
                      <w:szCs w:val="24"/>
                    </w:rPr>
                    <w:t>控制措施</w:t>
                  </w:r>
                </w:p>
              </w:tc>
              <w:tc>
                <w:tcPr>
                  <w:tcW w:w="1192" w:type="dxa"/>
                  <w:shd w:val="clear" w:color="auto" w:fill="auto"/>
                  <w:vAlign w:val="center"/>
                </w:tcPr>
                <w:p>
                  <w:pPr>
                    <w:jc w:val="cente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tcPr>
                <w:p>
                  <w:r>
                    <w:rPr>
                      <w:rFonts w:hint="eastAsia"/>
                    </w:rPr>
                    <w:t>工作、工作组织和工作环境适合</w:t>
                  </w:r>
                  <w:r>
                    <w:t>于</w:t>
                  </w:r>
                  <w:r>
                    <w:rPr>
                      <w:rFonts w:hint="eastAsia"/>
                    </w:rPr>
                    <w:t>工作人员</w:t>
                  </w:r>
                </w:p>
              </w:tc>
              <w:tc>
                <w:tcPr>
                  <w:tcW w:w="3655" w:type="dxa"/>
                  <w:shd w:val="clear" w:color="auto" w:fill="auto"/>
                  <w:vAlign w:val="center"/>
                </w:tcPr>
                <w:p>
                  <w:pPr>
                    <w:rPr>
                      <w:szCs w:val="24"/>
                    </w:rPr>
                  </w:pPr>
                  <w:r>
                    <w:rPr>
                      <w:rFonts w:hint="eastAsia" w:ascii="宋体" w:hAnsi="宋体"/>
                      <w:szCs w:val="24"/>
                    </w:rPr>
                    <w:t>目前控制措施有效且被员工接受</w:t>
                  </w:r>
                </w:p>
              </w:tc>
              <w:tc>
                <w:tcPr>
                  <w:tcW w:w="1192" w:type="dxa"/>
                  <w:shd w:val="clear" w:color="auto" w:fill="auto"/>
                  <w:vAlign w:val="center"/>
                </w:tcPr>
                <w:p>
                  <w:pPr>
                    <w:rPr>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tcPr>
                <w:p>
                  <w:r>
                    <w:rPr>
                      <w:rFonts w:hint="eastAsia"/>
                    </w:rPr>
                    <w:t>合规义务</w:t>
                  </w:r>
                </w:p>
              </w:tc>
              <w:tc>
                <w:tcPr>
                  <w:tcW w:w="3655" w:type="dxa"/>
                  <w:shd w:val="clear" w:color="auto" w:fill="auto"/>
                  <w:vAlign w:val="center"/>
                </w:tcPr>
                <w:p>
                  <w:pPr>
                    <w:rPr>
                      <w:rFonts w:ascii="宋体" w:hAnsi="宋体"/>
                      <w:szCs w:val="24"/>
                    </w:rPr>
                  </w:pPr>
                  <w:r>
                    <w:rPr>
                      <w:rFonts w:hint="eastAsia" w:ascii="宋体" w:hAnsi="宋体"/>
                      <w:szCs w:val="24"/>
                    </w:rPr>
                    <w:t>定期收集和评价法律法规和其他要求</w:t>
                  </w:r>
                </w:p>
              </w:tc>
              <w:tc>
                <w:tcPr>
                  <w:tcW w:w="1192"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tcPr>
                <w:p>
                  <w:r>
                    <w:rPr>
                      <w:rFonts w:hint="eastAsia"/>
                    </w:rPr>
                    <w:t>消除危险源</w:t>
                  </w:r>
                </w:p>
              </w:tc>
              <w:tc>
                <w:tcPr>
                  <w:tcW w:w="3655" w:type="dxa"/>
                  <w:shd w:val="clear" w:color="auto" w:fill="auto"/>
                  <w:vAlign w:val="center"/>
                </w:tcPr>
                <w:p>
                  <w:pPr>
                    <w:rPr>
                      <w:rFonts w:ascii="宋体" w:hAnsi="宋体"/>
                      <w:szCs w:val="24"/>
                    </w:rPr>
                  </w:pPr>
                  <w:r>
                    <w:rPr>
                      <w:rFonts w:hint="eastAsia" w:ascii="宋体" w:hAnsi="宋体"/>
                      <w:szCs w:val="24"/>
                    </w:rPr>
                    <w:t>定期安全教育，按照规章制度执行</w:t>
                  </w:r>
                </w:p>
              </w:tc>
              <w:tc>
                <w:tcPr>
                  <w:tcW w:w="1192"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tcPr>
                <w:p>
                  <w:r>
                    <w:rPr>
                      <w:rFonts w:hint="eastAsia"/>
                    </w:rPr>
                    <w:t>降低职业健康安全风险</w:t>
                  </w:r>
                </w:p>
              </w:tc>
              <w:tc>
                <w:tcPr>
                  <w:tcW w:w="3655" w:type="dxa"/>
                  <w:shd w:val="clear" w:color="auto" w:fill="auto"/>
                  <w:vAlign w:val="center"/>
                </w:tcPr>
                <w:p>
                  <w:pPr>
                    <w:rPr>
                      <w:rFonts w:ascii="宋体" w:hAnsi="宋体"/>
                      <w:szCs w:val="24"/>
                    </w:rPr>
                  </w:pPr>
                  <w:r>
                    <w:rPr>
                      <w:rFonts w:hint="eastAsia" w:ascii="宋体" w:hAnsi="宋体"/>
                      <w:szCs w:val="24"/>
                    </w:rPr>
                    <w:t>加强维修保养，保障装置的正常运行</w:t>
                  </w:r>
                </w:p>
              </w:tc>
              <w:tc>
                <w:tcPr>
                  <w:tcW w:w="1192"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shd w:val="clear" w:color="auto" w:fill="auto"/>
                </w:tcPr>
                <w:p>
                  <w:r>
                    <w:rPr>
                      <w:rFonts w:hint="eastAsia"/>
                    </w:rPr>
                    <w:t>其他机遇</w:t>
                  </w:r>
                </w:p>
              </w:tc>
              <w:tc>
                <w:tcPr>
                  <w:tcW w:w="3655" w:type="dxa"/>
                  <w:shd w:val="clear" w:color="auto" w:fill="auto"/>
                  <w:vAlign w:val="center"/>
                </w:tcPr>
                <w:p>
                  <w:pPr>
                    <w:rPr>
                      <w:rFonts w:ascii="宋体" w:hAnsi="宋体"/>
                      <w:szCs w:val="24"/>
                    </w:rPr>
                  </w:pPr>
                </w:p>
              </w:tc>
              <w:tc>
                <w:tcPr>
                  <w:tcW w:w="1192" w:type="dxa"/>
                  <w:shd w:val="clear" w:color="auto" w:fill="auto"/>
                  <w:vAlign w:val="center"/>
                </w:tcPr>
                <w:p>
                  <w:pPr>
                    <w:rPr>
                      <w:rFonts w:ascii="宋体" w:hAnsi="宋体"/>
                      <w:szCs w:val="24"/>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3"/>
                <w:numId w:val="0"/>
              </w:numPr>
            </w:pPr>
            <w:bookmarkStart w:id="3" w:name="_Toc17985671"/>
            <w:r>
              <w:rPr>
                <w:rFonts w:hint="eastAsia" w:eastAsia="宋体"/>
                <w:kern w:val="2"/>
                <w:szCs w:val="22"/>
              </w:rPr>
              <w:t>法律法要求规和其他要求的</w:t>
            </w:r>
            <w:r>
              <w:rPr>
                <w:rFonts w:hint="eastAsia"/>
              </w:rPr>
              <w:t>确定</w:t>
            </w:r>
            <w:bookmarkEnd w:id="3"/>
          </w:p>
          <w:p/>
        </w:tc>
        <w:tc>
          <w:tcPr>
            <w:tcW w:w="960" w:type="dxa"/>
            <w:vMerge w:val="restart"/>
          </w:tcPr>
          <w:p>
            <w:r>
              <w:rPr>
                <w:rFonts w:hint="eastAsia"/>
                <w:color w:val="000000"/>
                <w:szCs w:val="21"/>
              </w:rPr>
              <w:t>O6.1.3 </w:t>
            </w:r>
          </w:p>
        </w:tc>
        <w:tc>
          <w:tcPr>
            <w:tcW w:w="745" w:type="dxa"/>
          </w:tcPr>
          <w:p>
            <w:r>
              <w:rPr>
                <w:rFonts w:hint="eastAsia"/>
              </w:rPr>
              <w:t>文件名称</w:t>
            </w:r>
          </w:p>
        </w:tc>
        <w:tc>
          <w:tcPr>
            <w:tcW w:w="9259" w:type="dxa"/>
            <w:vAlign w:val="center"/>
          </w:tcPr>
          <w:p>
            <w:r>
              <w:rPr>
                <w:rFonts w:hint="eastAsia"/>
              </w:rPr>
              <w:t>如：管理手册、《合规义务控制程序》</w:t>
            </w:r>
          </w:p>
        </w:tc>
        <w:tc>
          <w:tcPr>
            <w:tcW w:w="1585" w:type="dxa"/>
            <w:vMerge w:val="restart"/>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组织收集法律法规和其他要求的渠道：</w:t>
            </w:r>
          </w:p>
          <w:p>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A8"/>
            </w:r>
            <w:r>
              <w:rPr>
                <w:rFonts w:hint="eastAsia"/>
                <w:color w:val="000000"/>
              </w:rPr>
              <w:t>其他</w:t>
            </w:r>
          </w:p>
          <w:p/>
          <w:p>
            <w:r>
              <w:rPr>
                <w:rFonts w:hint="eastAsia"/>
              </w:rPr>
              <w:t>列举主要的相关法律法规是：</w:t>
            </w:r>
          </w:p>
          <w:tbl>
            <w:tblPr>
              <w:tblStyle w:val="6"/>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242"/>
              <w:gridCol w:w="212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vAlign w:val="center"/>
                </w:tcPr>
                <w:p>
                  <w:pPr>
                    <w:jc w:val="center"/>
                    <w:rPr>
                      <w:rFonts w:ascii="宋体" w:hAnsi="宋体"/>
                      <w:szCs w:val="24"/>
                    </w:rPr>
                  </w:pPr>
                  <w:r>
                    <w:rPr>
                      <w:rFonts w:hint="eastAsia" w:ascii="宋体" w:hAnsi="宋体"/>
                      <w:szCs w:val="24"/>
                    </w:rPr>
                    <w:t>法律法规名称</w:t>
                  </w:r>
                </w:p>
              </w:tc>
              <w:tc>
                <w:tcPr>
                  <w:tcW w:w="2242" w:type="dxa"/>
                  <w:shd w:val="clear" w:color="auto" w:fill="auto"/>
                  <w:vAlign w:val="center"/>
                </w:tcPr>
                <w:p>
                  <w:pPr>
                    <w:jc w:val="center"/>
                    <w:rPr>
                      <w:rFonts w:ascii="宋体" w:hAnsi="宋体"/>
                      <w:szCs w:val="24"/>
                    </w:rPr>
                  </w:pPr>
                  <w:r>
                    <w:rPr>
                      <w:rFonts w:hint="eastAsia" w:ascii="宋体" w:hAnsi="宋体"/>
                      <w:szCs w:val="24"/>
                    </w:rPr>
                    <w:t>具体条款</w:t>
                  </w:r>
                </w:p>
              </w:tc>
              <w:tc>
                <w:tcPr>
                  <w:tcW w:w="2126" w:type="dxa"/>
                  <w:shd w:val="clear" w:color="auto" w:fill="auto"/>
                  <w:vAlign w:val="center"/>
                </w:tcPr>
                <w:p>
                  <w:pPr>
                    <w:jc w:val="center"/>
                    <w:rPr>
                      <w:rFonts w:ascii="宋体" w:hAnsi="宋体"/>
                      <w:szCs w:val="24"/>
                    </w:rPr>
                  </w:pPr>
                  <w:r>
                    <w:rPr>
                      <w:rFonts w:hint="eastAsia" w:ascii="宋体" w:hAnsi="宋体"/>
                      <w:szCs w:val="24"/>
                    </w:rPr>
                    <w:t>应用过程</w:t>
                  </w:r>
                </w:p>
              </w:tc>
              <w:tc>
                <w:tcPr>
                  <w:tcW w:w="1453" w:type="dxa"/>
                  <w:shd w:val="clear" w:color="auto" w:fill="auto"/>
                  <w:vAlign w:val="center"/>
                </w:tcPr>
                <w:p>
                  <w:pPr>
                    <w:jc w:val="cente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vAlign w:val="center"/>
                </w:tcPr>
                <w:p>
                  <w:pPr>
                    <w:pStyle w:val="19"/>
                  </w:pPr>
                  <w:r>
                    <w:rPr>
                      <w:rFonts w:hint="eastAsia"/>
                    </w:rPr>
                    <w:t>中华人民共和国消防法</w:t>
                  </w:r>
                </w:p>
              </w:tc>
              <w:tc>
                <w:tcPr>
                  <w:tcW w:w="2242" w:type="dxa"/>
                  <w:shd w:val="clear" w:color="auto" w:fill="auto"/>
                  <w:vAlign w:val="center"/>
                </w:tcPr>
                <w:p>
                  <w:pPr>
                    <w:rPr>
                      <w:rFonts w:ascii="宋体" w:hAnsi="宋体"/>
                      <w:color w:val="FF0000"/>
                      <w:szCs w:val="24"/>
                    </w:rPr>
                  </w:pPr>
                </w:p>
              </w:tc>
              <w:tc>
                <w:tcPr>
                  <w:tcW w:w="2126" w:type="dxa"/>
                  <w:shd w:val="clear" w:color="auto" w:fill="auto"/>
                  <w:vAlign w:val="center"/>
                </w:tcPr>
                <w:p>
                  <w:pPr>
                    <w:rPr>
                      <w:rFonts w:ascii="宋体" w:hAnsi="宋体"/>
                      <w:szCs w:val="24"/>
                    </w:rPr>
                  </w:pPr>
                  <w:r>
                    <w:rPr>
                      <w:rFonts w:hint="eastAsia" w:ascii="宋体" w:hAnsi="宋体"/>
                      <w:szCs w:val="24"/>
                    </w:rPr>
                    <w:t>消防管理</w:t>
                  </w:r>
                </w:p>
              </w:tc>
              <w:tc>
                <w:tcPr>
                  <w:tcW w:w="1453" w:type="dxa"/>
                  <w:shd w:val="clear" w:color="auto" w:fill="auto"/>
                  <w:vAlign w:val="center"/>
                </w:tcPr>
                <w:p>
                  <w:pP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vAlign w:val="center"/>
                </w:tcPr>
                <w:p>
                  <w:pPr>
                    <w:pStyle w:val="19"/>
                    <w:rPr>
                      <w:szCs w:val="22"/>
                    </w:rPr>
                  </w:pPr>
                  <w:r>
                    <w:rPr>
                      <w:rFonts w:hint="eastAsia"/>
                    </w:rPr>
                    <w:t>中华人民共和国</w:t>
                  </w:r>
                  <w:r>
                    <w:rPr>
                      <w:rFonts w:hint="eastAsia"/>
                      <w:szCs w:val="22"/>
                    </w:rPr>
                    <w:t>劳动法</w:t>
                  </w:r>
                </w:p>
              </w:tc>
              <w:tc>
                <w:tcPr>
                  <w:tcW w:w="2242" w:type="dxa"/>
                  <w:shd w:val="clear" w:color="auto" w:fill="auto"/>
                  <w:vAlign w:val="center"/>
                </w:tcPr>
                <w:p>
                  <w:pPr>
                    <w:rPr>
                      <w:color w:val="FF0000"/>
                      <w:szCs w:val="24"/>
                    </w:rPr>
                  </w:pPr>
                </w:p>
              </w:tc>
              <w:tc>
                <w:tcPr>
                  <w:tcW w:w="2126" w:type="dxa"/>
                  <w:shd w:val="clear" w:color="auto" w:fill="auto"/>
                  <w:vAlign w:val="center"/>
                </w:tcPr>
                <w:p>
                  <w:pPr>
                    <w:rPr>
                      <w:rFonts w:ascii="宋体" w:hAnsi="宋体"/>
                      <w:szCs w:val="24"/>
                    </w:rPr>
                  </w:pPr>
                  <w:r>
                    <w:rPr>
                      <w:rFonts w:hint="eastAsia" w:ascii="宋体" w:hAnsi="宋体"/>
                      <w:szCs w:val="24"/>
                    </w:rPr>
                    <w:t>劳动者权益保护</w:t>
                  </w:r>
                </w:p>
              </w:tc>
              <w:tc>
                <w:tcPr>
                  <w:tcW w:w="1453" w:type="dxa"/>
                  <w:shd w:val="clear" w:color="auto" w:fill="auto"/>
                  <w:vAlign w:val="center"/>
                </w:tcPr>
                <w:p>
                  <w:pP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vAlign w:val="center"/>
                </w:tcPr>
                <w:p>
                  <w:pPr>
                    <w:pStyle w:val="19"/>
                  </w:pPr>
                  <w:r>
                    <w:rPr>
                      <w:rFonts w:hint="eastAsia"/>
                    </w:rPr>
                    <w:t>中华人民共和国食品安全法</w:t>
                  </w:r>
                </w:p>
              </w:tc>
              <w:tc>
                <w:tcPr>
                  <w:tcW w:w="2242" w:type="dxa"/>
                  <w:shd w:val="clear" w:color="auto" w:fill="auto"/>
                  <w:vAlign w:val="center"/>
                </w:tcPr>
                <w:p>
                  <w:pPr>
                    <w:rPr>
                      <w:color w:val="FF0000"/>
                      <w:szCs w:val="24"/>
                    </w:rPr>
                  </w:pPr>
                </w:p>
              </w:tc>
              <w:tc>
                <w:tcPr>
                  <w:tcW w:w="2126" w:type="dxa"/>
                  <w:shd w:val="clear" w:color="auto" w:fill="auto"/>
                  <w:vAlign w:val="center"/>
                </w:tcPr>
                <w:p>
                  <w:pPr>
                    <w:rPr>
                      <w:rFonts w:ascii="宋体" w:hAnsi="宋体"/>
                      <w:szCs w:val="24"/>
                    </w:rPr>
                  </w:pPr>
                  <w:r>
                    <w:rPr>
                      <w:rFonts w:hint="eastAsia" w:ascii="宋体" w:hAnsi="宋体"/>
                      <w:szCs w:val="24"/>
                    </w:rPr>
                    <w:t>食品安全</w:t>
                  </w:r>
                </w:p>
              </w:tc>
              <w:tc>
                <w:tcPr>
                  <w:tcW w:w="1453" w:type="dxa"/>
                  <w:shd w:val="clear" w:color="auto" w:fill="auto"/>
                  <w:vAlign w:val="center"/>
                </w:tcPr>
                <w:p>
                  <w:pP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shd w:val="clear" w:color="auto" w:fill="auto"/>
                  <w:vAlign w:val="center"/>
                </w:tcPr>
                <w:p>
                  <w:r>
                    <w:rPr>
                      <w:rFonts w:hint="eastAsia"/>
                    </w:rPr>
                    <w:t>工伤保险条例</w:t>
                  </w:r>
                </w:p>
              </w:tc>
              <w:tc>
                <w:tcPr>
                  <w:tcW w:w="2242" w:type="dxa"/>
                  <w:shd w:val="clear" w:color="auto" w:fill="auto"/>
                  <w:vAlign w:val="center"/>
                </w:tcPr>
                <w:p>
                  <w:pPr>
                    <w:rPr>
                      <w:rFonts w:ascii="宋体" w:hAnsi="宋体"/>
                      <w:color w:val="FF0000"/>
                      <w:szCs w:val="24"/>
                    </w:rPr>
                  </w:pPr>
                </w:p>
              </w:tc>
              <w:tc>
                <w:tcPr>
                  <w:tcW w:w="2126" w:type="dxa"/>
                  <w:shd w:val="clear" w:color="auto" w:fill="auto"/>
                  <w:vAlign w:val="center"/>
                </w:tcPr>
                <w:p>
                  <w:pPr>
                    <w:rPr>
                      <w:rFonts w:ascii="宋体" w:hAnsi="宋体"/>
                      <w:szCs w:val="24"/>
                    </w:rPr>
                  </w:pPr>
                  <w:r>
                    <w:rPr>
                      <w:rFonts w:hint="eastAsia" w:ascii="宋体" w:hAnsi="宋体"/>
                      <w:szCs w:val="24"/>
                    </w:rPr>
                    <w:t>工伤管理</w:t>
                  </w:r>
                </w:p>
              </w:tc>
              <w:tc>
                <w:tcPr>
                  <w:tcW w:w="1453" w:type="dxa"/>
                  <w:shd w:val="clear" w:color="auto" w:fill="auto"/>
                  <w:vAlign w:val="center"/>
                </w:tcPr>
                <w:p>
                  <w:pPr>
                    <w:rPr>
                      <w:rFonts w:ascii="宋体" w:hAnsi="宋体"/>
                    </w:rPr>
                  </w:pPr>
                  <w:r>
                    <w:rPr>
                      <w:rFonts w:hint="eastAsia" w:ascii="宋体" w:hAnsi="宋体"/>
                    </w:rPr>
                    <w:t>办公室</w:t>
                  </w:r>
                </w:p>
              </w:tc>
            </w:tr>
          </w:tbl>
          <w:p>
            <w:pPr>
              <w:rPr>
                <w:color w:val="000000"/>
                <w:szCs w:val="18"/>
                <w:highlight w:val="cyan"/>
              </w:rPr>
            </w:pPr>
            <w:r>
              <w:rPr>
                <w:rFonts w:hint="eastAsia"/>
              </w:rPr>
              <w:t xml:space="preserve"> </w:t>
            </w:r>
          </w:p>
          <w:p>
            <w:pPr>
              <w:rPr>
                <w:color w:val="000000"/>
                <w:szCs w:val="18"/>
              </w:rPr>
            </w:pPr>
            <w:r>
              <w:rPr>
                <w:rFonts w:hint="eastAsia"/>
                <w:color w:val="000000"/>
                <w:szCs w:val="18"/>
              </w:rPr>
              <w:t>查苏州市吴中区郭巷街道《“证照联办”现场审核整改意见书》，日期：</w:t>
            </w:r>
            <w:r>
              <w:rPr>
                <w:rFonts w:hint="eastAsia"/>
                <w:color w:val="000000"/>
                <w:szCs w:val="18"/>
                <w:u w:val="single"/>
              </w:rPr>
              <w:t xml:space="preserve"> </w:t>
            </w:r>
            <w:r>
              <w:rPr>
                <w:color w:val="000000"/>
                <w:szCs w:val="18"/>
                <w:u w:val="single"/>
              </w:rPr>
              <w:t>2020</w:t>
            </w:r>
            <w:r>
              <w:rPr>
                <w:rFonts w:hint="eastAsia"/>
                <w:color w:val="000000"/>
                <w:szCs w:val="18"/>
                <w:u w:val="single"/>
              </w:rPr>
              <w:t>-</w:t>
            </w:r>
            <w:r>
              <w:rPr>
                <w:color w:val="000000"/>
                <w:szCs w:val="18"/>
                <w:u w:val="single"/>
              </w:rPr>
              <w:t>04</w:t>
            </w:r>
            <w:r>
              <w:rPr>
                <w:rFonts w:hint="eastAsia"/>
                <w:color w:val="000000"/>
                <w:szCs w:val="18"/>
                <w:u w:val="single"/>
              </w:rPr>
              <w:t>-</w:t>
            </w:r>
            <w:r>
              <w:rPr>
                <w:color w:val="000000"/>
                <w:szCs w:val="18"/>
                <w:u w:val="single"/>
              </w:rPr>
              <w:t>20</w:t>
            </w:r>
            <w:r>
              <w:rPr>
                <w:rFonts w:hint="eastAsia"/>
                <w:color w:val="000000"/>
                <w:szCs w:val="18"/>
              </w:rPr>
              <w:t>，所列整改项已落实到位。</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O6.1.4 </w:t>
            </w:r>
          </w:p>
        </w:tc>
        <w:tc>
          <w:tcPr>
            <w:tcW w:w="745" w:type="dxa"/>
          </w:tcPr>
          <w:p>
            <w:r>
              <w:rPr>
                <w:rFonts w:hint="eastAsia"/>
              </w:rPr>
              <w:t>文件名称</w:t>
            </w:r>
          </w:p>
        </w:tc>
        <w:tc>
          <w:tcPr>
            <w:tcW w:w="9259" w:type="dxa"/>
            <w:vAlign w:val="center"/>
          </w:tcPr>
          <w:p>
            <w:r>
              <w:rPr>
                <w:rFonts w:hint="eastAsia"/>
              </w:rPr>
              <w:t>如：管理手册、《健康安全目标管理方案》</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t>在策划措施时，组织必须考虑控制的层级（见</w:t>
            </w:r>
            <w:r>
              <w:t>8.1.2）</w:t>
            </w:r>
            <w:r>
              <w:rPr>
                <w:rFonts w:hint="eastAsia"/>
              </w:rPr>
              <w:t>和职业健康安全管理体系的输出。</w:t>
            </w:r>
          </w:p>
          <w:p>
            <w:r>
              <w:rPr>
                <w:rFonts w:hint="eastAsia"/>
              </w:rPr>
              <w:t>在策划措施时，组织还应考虑最佳实践、可选技术方案以及财务、运行和经营等要求。</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vAlign w:val="center"/>
                </w:tcPr>
                <w:p>
                  <w:pPr>
                    <w:jc w:val="center"/>
                    <w:rPr>
                      <w:rFonts w:ascii="宋体" w:hAnsi="宋体"/>
                      <w:szCs w:val="24"/>
                    </w:rPr>
                  </w:pPr>
                  <w:r>
                    <w:rPr>
                      <w:rFonts w:hint="eastAsia" w:ascii="宋体" w:hAnsi="宋体"/>
                      <w:szCs w:val="24"/>
                    </w:rPr>
                    <w:t>控制内容</w:t>
                  </w:r>
                </w:p>
              </w:tc>
              <w:tc>
                <w:tcPr>
                  <w:tcW w:w="3587" w:type="dxa"/>
                  <w:shd w:val="clear" w:color="auto" w:fill="auto"/>
                  <w:vAlign w:val="center"/>
                </w:tcPr>
                <w:p>
                  <w:pPr>
                    <w:jc w:val="center"/>
                    <w:rPr>
                      <w:rFonts w:ascii="宋体" w:hAnsi="宋体"/>
                      <w:szCs w:val="24"/>
                    </w:rPr>
                  </w:pPr>
                  <w:r>
                    <w:rPr>
                      <w:rFonts w:hint="eastAsia" w:ascii="宋体" w:hAnsi="宋体"/>
                      <w:szCs w:val="24"/>
                    </w:rPr>
                    <w:t>控制措施</w:t>
                  </w:r>
                </w:p>
              </w:tc>
              <w:tc>
                <w:tcPr>
                  <w:tcW w:w="1350" w:type="dxa"/>
                  <w:shd w:val="clear" w:color="auto" w:fill="auto"/>
                  <w:vAlign w:val="center"/>
                </w:tcPr>
                <w:p>
                  <w:pPr>
                    <w:jc w:val="center"/>
                    <w:rPr>
                      <w:rFonts w:ascii="宋体" w:hAnsi="宋体"/>
                      <w:szCs w:val="24"/>
                    </w:rPr>
                  </w:pPr>
                  <w:r>
                    <w:rPr>
                      <w:rFonts w:hint="eastAsia" w:ascii="宋体" w:hAnsi="宋体"/>
                      <w:szCs w:val="24"/>
                    </w:rPr>
                    <w:t>责任部门</w:t>
                  </w:r>
                </w:p>
              </w:tc>
              <w:tc>
                <w:tcPr>
                  <w:tcW w:w="1774" w:type="dxa"/>
                  <w:shd w:val="clear" w:color="auto" w:fill="auto"/>
                  <w:vAlign w:val="center"/>
                </w:tcPr>
                <w:p>
                  <w:pPr>
                    <w:jc w:val="center"/>
                    <w:rPr>
                      <w:rFonts w:ascii="宋体" w:hAnsi="宋体"/>
                      <w:szCs w:val="24"/>
                    </w:rP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风险和机遇</w:t>
                  </w:r>
                </w:p>
              </w:tc>
              <w:tc>
                <w:tcPr>
                  <w:tcW w:w="3587" w:type="dxa"/>
                  <w:shd w:val="clear" w:color="auto" w:fill="auto"/>
                </w:tcPr>
                <w:p>
                  <w:r>
                    <w:rPr>
                      <w:rFonts w:hint="eastAsia"/>
                    </w:rPr>
                    <w:t>《风险和机遇管制程序》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满足法律法规要求和其他要求</w:t>
                  </w:r>
                </w:p>
              </w:tc>
              <w:tc>
                <w:tcPr>
                  <w:tcW w:w="3587" w:type="dxa"/>
                  <w:shd w:val="clear" w:color="auto" w:fill="auto"/>
                  <w:vAlign w:val="center"/>
                </w:tcPr>
                <w:p>
                  <w:pPr>
                    <w:rPr>
                      <w:rFonts w:ascii="宋体" w:hAnsi="宋体"/>
                      <w:szCs w:val="24"/>
                    </w:rPr>
                  </w:pPr>
                  <w:r>
                    <w:rPr>
                      <w:rFonts w:hint="eastAsia" w:ascii="宋体" w:hAnsi="宋体"/>
                      <w:szCs w:val="24"/>
                    </w:rPr>
                    <w:t>《法律法规获取程序》</w:t>
                  </w:r>
                </w:p>
                <w:p>
                  <w:pPr>
                    <w:pStyle w:val="2"/>
                  </w:pPr>
                  <w:r>
                    <w:rPr>
                      <w:rFonts w:hint="eastAsia"/>
                    </w:rPr>
                    <w:t>《合规义务控制程序》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对紧急情况做出准备和响应</w:t>
                  </w:r>
                </w:p>
              </w:tc>
              <w:tc>
                <w:tcPr>
                  <w:tcW w:w="3587" w:type="dxa"/>
                  <w:shd w:val="clear" w:color="auto" w:fill="auto"/>
                  <w:vAlign w:val="center"/>
                </w:tcPr>
                <w:p>
                  <w:pPr>
                    <w:rPr>
                      <w:rFonts w:ascii="宋体" w:hAnsi="宋体"/>
                      <w:szCs w:val="24"/>
                    </w:rPr>
                  </w:pPr>
                  <w:r>
                    <w:rPr>
                      <w:rFonts w:hint="eastAsia" w:ascii="宋体" w:hAnsi="宋体"/>
                      <w:szCs w:val="24"/>
                    </w:rPr>
                    <w:t>《应急响应控制程序》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职业健康安全目标</w:t>
            </w:r>
          </w:p>
        </w:tc>
        <w:tc>
          <w:tcPr>
            <w:tcW w:w="960" w:type="dxa"/>
            <w:vMerge w:val="restart"/>
          </w:tcPr>
          <w:p>
            <w:r>
              <w:rPr>
                <w:rFonts w:hint="eastAsia"/>
                <w:color w:val="000000"/>
                <w:szCs w:val="21"/>
              </w:rPr>
              <w:t>O6.2 </w:t>
            </w:r>
          </w:p>
        </w:tc>
        <w:tc>
          <w:tcPr>
            <w:tcW w:w="745" w:type="dxa"/>
          </w:tcPr>
          <w:p>
            <w:r>
              <w:rPr>
                <w:rFonts w:hint="eastAsia"/>
              </w:rPr>
              <w:t>文件名称</w:t>
            </w:r>
          </w:p>
        </w:tc>
        <w:tc>
          <w:tcPr>
            <w:tcW w:w="9259" w:type="dxa"/>
            <w:vAlign w:val="center"/>
          </w:tcPr>
          <w:p>
            <w:r>
              <w:rPr>
                <w:rFonts w:hint="eastAsia"/>
              </w:rPr>
              <w:t>如：管理手册、《环境和职业健康安全运行控制管理程序》、《健康安全目标管理方案》</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职业健康安全</w:t>
            </w:r>
            <w:r>
              <w:rPr>
                <w:rFonts w:hint="eastAsia"/>
              </w:rPr>
              <w:t>目标而建立的各层级</w:t>
            </w:r>
            <w:r>
              <w:rPr>
                <w:rFonts w:hint="eastAsia"/>
                <w:color w:val="000000"/>
                <w:szCs w:val="21"/>
              </w:rPr>
              <w:t>职业健康安全</w:t>
            </w:r>
            <w:r>
              <w:rPr>
                <w:rFonts w:hint="eastAsia"/>
              </w:rPr>
              <w:t>目标具体、有针对性、可测量并且可实现。</w:t>
            </w:r>
          </w:p>
          <w:p>
            <w:r>
              <w:rPr>
                <w:rFonts w:hint="eastAsia"/>
              </w:rPr>
              <w:t>总</w:t>
            </w:r>
            <w:r>
              <w:rPr>
                <w:rFonts w:hint="eastAsia"/>
                <w:color w:val="000000"/>
                <w:szCs w:val="21"/>
              </w:rPr>
              <w:t>职业健康安全</w:t>
            </w:r>
            <w:r>
              <w:rPr>
                <w:rFonts w:hint="eastAsia"/>
              </w:rPr>
              <w:t>目标实现情况的评价，及其测量方法是：</w:t>
            </w:r>
          </w:p>
          <w:tbl>
            <w:tblPr>
              <w:tblStyle w:val="6"/>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1701"/>
              <w:gridCol w:w="118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359" w:type="dxa"/>
                  <w:shd w:val="clear" w:color="auto" w:fill="auto"/>
                  <w:vAlign w:val="center"/>
                </w:tcPr>
                <w:p>
                  <w:pPr>
                    <w:jc w:val="center"/>
                    <w:rPr>
                      <w:rFonts w:ascii="宋体" w:hAnsi="宋体"/>
                      <w:szCs w:val="24"/>
                    </w:rPr>
                  </w:pPr>
                  <w:r>
                    <w:rPr>
                      <w:rFonts w:hint="eastAsia"/>
                      <w:szCs w:val="21"/>
                    </w:rPr>
                    <w:t>职业健康安全</w:t>
                  </w:r>
                  <w:r>
                    <w:rPr>
                      <w:rFonts w:hint="eastAsia" w:ascii="宋体" w:hAnsi="宋体"/>
                      <w:szCs w:val="24"/>
                    </w:rPr>
                    <w:t>目标</w:t>
                  </w:r>
                </w:p>
              </w:tc>
              <w:tc>
                <w:tcPr>
                  <w:tcW w:w="1701" w:type="dxa"/>
                  <w:shd w:val="clear" w:color="auto" w:fill="auto"/>
                  <w:vAlign w:val="center"/>
                </w:tcPr>
                <w:p>
                  <w:pPr>
                    <w:jc w:val="center"/>
                    <w:rPr>
                      <w:rFonts w:ascii="宋体" w:hAnsi="宋体"/>
                      <w:szCs w:val="24"/>
                    </w:rPr>
                  </w:pPr>
                  <w:r>
                    <w:rPr>
                      <w:rFonts w:hint="eastAsia" w:ascii="宋体" w:hAnsi="宋体"/>
                      <w:szCs w:val="24"/>
                    </w:rPr>
                    <w:t>控制参数</w:t>
                  </w:r>
                </w:p>
              </w:tc>
              <w:tc>
                <w:tcPr>
                  <w:tcW w:w="1186" w:type="dxa"/>
                  <w:shd w:val="clear" w:color="auto" w:fill="auto"/>
                  <w:vAlign w:val="center"/>
                </w:tcPr>
                <w:p>
                  <w:pPr>
                    <w:jc w:val="center"/>
                    <w:rPr>
                      <w:rFonts w:ascii="宋体" w:hAnsi="宋体"/>
                      <w:szCs w:val="24"/>
                    </w:rPr>
                  </w:pPr>
                  <w:r>
                    <w:rPr>
                      <w:rFonts w:hint="eastAsia" w:ascii="宋体" w:hAnsi="宋体"/>
                      <w:szCs w:val="24"/>
                    </w:rPr>
                    <w:t>责任部门</w:t>
                  </w:r>
                </w:p>
              </w:tc>
              <w:tc>
                <w:tcPr>
                  <w:tcW w:w="1508" w:type="dxa"/>
                  <w:shd w:val="clear" w:color="auto" w:fill="auto"/>
                  <w:vAlign w:val="center"/>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shd w:val="clear" w:color="auto" w:fill="auto"/>
                </w:tcPr>
                <w:p>
                  <w:pPr>
                    <w:spacing w:line="400" w:lineRule="exact"/>
                    <w:rPr>
                      <w:szCs w:val="21"/>
                    </w:rPr>
                  </w:pPr>
                  <w:r>
                    <w:rPr>
                      <w:rFonts w:hint="eastAsia" w:ascii="楷体_GB2312" w:hAnsi="宋体" w:eastAsia="楷体_GB2312"/>
                      <w:szCs w:val="21"/>
                    </w:rPr>
                    <w:t>伤亡事故为零</w:t>
                  </w:r>
                </w:p>
              </w:tc>
              <w:tc>
                <w:tcPr>
                  <w:tcW w:w="1701" w:type="dxa"/>
                  <w:shd w:val="clear" w:color="auto" w:fill="auto"/>
                  <w:vAlign w:val="center"/>
                </w:tcPr>
                <w:p>
                  <w:pPr>
                    <w:jc w:val="center"/>
                    <w:rPr>
                      <w:szCs w:val="21"/>
                    </w:rPr>
                  </w:pPr>
                  <w:r>
                    <w:rPr>
                      <w:rFonts w:ascii="宋体" w:hAnsi="宋体"/>
                      <w:szCs w:val="21"/>
                    </w:rPr>
                    <w:t>0</w:t>
                  </w:r>
                </w:p>
              </w:tc>
              <w:tc>
                <w:tcPr>
                  <w:tcW w:w="1186" w:type="dxa"/>
                  <w:shd w:val="clear" w:color="auto" w:fill="auto"/>
                  <w:vAlign w:val="center"/>
                </w:tcPr>
                <w:p>
                  <w:pPr>
                    <w:rPr>
                      <w:szCs w:val="21"/>
                    </w:rPr>
                  </w:pPr>
                  <w:r>
                    <w:rPr>
                      <w:rFonts w:hint="eastAsia"/>
                      <w:szCs w:val="21"/>
                    </w:rPr>
                    <w:t>办公室</w:t>
                  </w:r>
                </w:p>
              </w:tc>
              <w:tc>
                <w:tcPr>
                  <w:tcW w:w="1508" w:type="dxa"/>
                  <w:shd w:val="clear" w:color="auto" w:fill="auto"/>
                  <w:vAlign w:val="center"/>
                </w:tcPr>
                <w:p>
                  <w:pPr>
                    <w:jc w:val="center"/>
                    <w:rPr>
                      <w:rFonts w:ascii="宋体" w:hAnsi="宋体"/>
                      <w:szCs w:val="21"/>
                    </w:rPr>
                  </w:pP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shd w:val="clear" w:color="auto" w:fill="auto"/>
                </w:tcPr>
                <w:p>
                  <w:pPr>
                    <w:rPr>
                      <w:szCs w:val="21"/>
                    </w:rPr>
                  </w:pPr>
                  <w:r>
                    <w:rPr>
                      <w:rFonts w:hint="eastAsia" w:ascii="楷体_GB2312" w:hAnsi="宋体" w:eastAsia="楷体_GB2312"/>
                      <w:szCs w:val="21"/>
                    </w:rPr>
                    <w:t>全年未发生传染病、食物中毒等重大事故</w:t>
                  </w:r>
                </w:p>
              </w:tc>
              <w:tc>
                <w:tcPr>
                  <w:tcW w:w="1701" w:type="dxa"/>
                  <w:shd w:val="clear" w:color="auto" w:fill="auto"/>
                  <w:vAlign w:val="center"/>
                </w:tcPr>
                <w:p>
                  <w:pPr>
                    <w:jc w:val="center"/>
                    <w:rPr>
                      <w:rFonts w:ascii="宋体" w:hAnsi="宋体"/>
                      <w:szCs w:val="21"/>
                    </w:rPr>
                  </w:pPr>
                  <w:r>
                    <w:rPr>
                      <w:rFonts w:hint="eastAsia" w:ascii="宋体" w:hAnsi="宋体"/>
                      <w:szCs w:val="21"/>
                    </w:rPr>
                    <w:t>0</w:t>
                  </w:r>
                </w:p>
              </w:tc>
              <w:tc>
                <w:tcPr>
                  <w:tcW w:w="1186" w:type="dxa"/>
                  <w:shd w:val="clear" w:color="auto" w:fill="auto"/>
                  <w:vAlign w:val="center"/>
                </w:tcPr>
                <w:p>
                  <w:pPr>
                    <w:rPr>
                      <w:rFonts w:ascii="宋体" w:hAnsi="宋体"/>
                      <w:szCs w:val="21"/>
                    </w:rPr>
                  </w:pPr>
                  <w:r>
                    <w:rPr>
                      <w:rFonts w:hint="eastAsia"/>
                      <w:szCs w:val="21"/>
                    </w:rPr>
                    <w:t>办公室</w:t>
                  </w:r>
                </w:p>
              </w:tc>
              <w:tc>
                <w:tcPr>
                  <w:tcW w:w="1508" w:type="dxa"/>
                  <w:shd w:val="clear" w:color="auto" w:fill="auto"/>
                  <w:vAlign w:val="center"/>
                </w:tcPr>
                <w:p>
                  <w:pPr>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shd w:val="clear" w:color="auto" w:fill="auto"/>
                </w:tcPr>
                <w:p>
                  <w:pPr>
                    <w:rPr>
                      <w:szCs w:val="21"/>
                    </w:rPr>
                  </w:pPr>
                  <w:r>
                    <w:rPr>
                      <w:rFonts w:hint="eastAsia" w:ascii="楷体_GB2312" w:hAnsi="宋体" w:eastAsia="楷体_GB2312"/>
                      <w:szCs w:val="21"/>
                    </w:rPr>
                    <w:t>控制潜在的火灾和爆炸事故为0</w:t>
                  </w:r>
                </w:p>
              </w:tc>
              <w:tc>
                <w:tcPr>
                  <w:tcW w:w="1701" w:type="dxa"/>
                  <w:shd w:val="clear" w:color="auto" w:fill="auto"/>
                  <w:vAlign w:val="center"/>
                </w:tcPr>
                <w:p>
                  <w:pPr>
                    <w:jc w:val="center"/>
                    <w:rPr>
                      <w:rFonts w:ascii="宋体" w:hAnsi="宋体"/>
                      <w:szCs w:val="21"/>
                    </w:rPr>
                  </w:pPr>
                  <w:r>
                    <w:rPr>
                      <w:rFonts w:ascii="宋体" w:hAnsi="宋体"/>
                      <w:szCs w:val="21"/>
                    </w:rPr>
                    <w:t>0</w:t>
                  </w:r>
                </w:p>
              </w:tc>
              <w:tc>
                <w:tcPr>
                  <w:tcW w:w="1186" w:type="dxa"/>
                  <w:shd w:val="clear" w:color="auto" w:fill="auto"/>
                  <w:vAlign w:val="center"/>
                </w:tcPr>
                <w:p>
                  <w:pPr>
                    <w:rPr>
                      <w:rFonts w:ascii="宋体" w:hAnsi="宋体"/>
                      <w:szCs w:val="21"/>
                    </w:rPr>
                  </w:pPr>
                  <w:r>
                    <w:rPr>
                      <w:rFonts w:hint="eastAsia"/>
                      <w:szCs w:val="21"/>
                    </w:rPr>
                    <w:t>办公室</w:t>
                  </w:r>
                </w:p>
              </w:tc>
              <w:tc>
                <w:tcPr>
                  <w:tcW w:w="1508" w:type="dxa"/>
                  <w:shd w:val="clear" w:color="auto" w:fill="auto"/>
                  <w:vAlign w:val="center"/>
                </w:tcPr>
                <w:p>
                  <w:pPr>
                    <w:jc w:val="center"/>
                    <w:rPr>
                      <w:rFonts w:ascii="宋体" w:hAnsi="宋体"/>
                      <w:szCs w:val="21"/>
                    </w:rPr>
                  </w:pP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shd w:val="clear" w:color="auto" w:fill="auto"/>
                </w:tcPr>
                <w:p>
                  <w:pPr>
                    <w:tabs>
                      <w:tab w:val="left" w:pos="72"/>
                    </w:tabs>
                    <w:spacing w:line="0" w:lineRule="atLeast"/>
                    <w:rPr>
                      <w:rFonts w:ascii="宋体" w:hAnsi="宋体"/>
                      <w:szCs w:val="21"/>
                    </w:rPr>
                  </w:pPr>
                  <w:r>
                    <w:rPr>
                      <w:rFonts w:hint="eastAsia" w:ascii="楷体_GB2312" w:hAnsi="宋体" w:eastAsia="楷体_GB2312"/>
                      <w:szCs w:val="21"/>
                    </w:rPr>
                    <w:t xml:space="preserve">安全隐患整改率100% </w:t>
                  </w:r>
                </w:p>
              </w:tc>
              <w:tc>
                <w:tcPr>
                  <w:tcW w:w="1701" w:type="dxa"/>
                  <w:shd w:val="clear" w:color="auto" w:fill="auto"/>
                  <w:vAlign w:val="center"/>
                </w:tcPr>
                <w:p>
                  <w:pPr>
                    <w:jc w:val="center"/>
                    <w:rPr>
                      <w:rFonts w:ascii="宋体" w:hAnsi="宋体"/>
                      <w:szCs w:val="21"/>
                    </w:rPr>
                  </w:pPr>
                  <w:r>
                    <w:rPr>
                      <w:rFonts w:ascii="宋体" w:hAnsi="宋体"/>
                      <w:szCs w:val="21"/>
                    </w:rPr>
                    <w:t>100%</w:t>
                  </w:r>
                </w:p>
              </w:tc>
              <w:tc>
                <w:tcPr>
                  <w:tcW w:w="1186" w:type="dxa"/>
                  <w:shd w:val="clear" w:color="auto" w:fill="auto"/>
                  <w:vAlign w:val="center"/>
                </w:tcPr>
                <w:p>
                  <w:pPr>
                    <w:rPr>
                      <w:rFonts w:ascii="宋体" w:hAnsi="宋体"/>
                      <w:szCs w:val="21"/>
                    </w:rPr>
                  </w:pPr>
                  <w:r>
                    <w:rPr>
                      <w:rFonts w:hint="eastAsia"/>
                      <w:szCs w:val="21"/>
                    </w:rPr>
                    <w:t>办公室</w:t>
                  </w:r>
                </w:p>
              </w:tc>
              <w:tc>
                <w:tcPr>
                  <w:tcW w:w="1508" w:type="dxa"/>
                  <w:shd w:val="clear" w:color="auto" w:fill="auto"/>
                  <w:vAlign w:val="center"/>
                </w:tcPr>
                <w:p>
                  <w:pPr>
                    <w:jc w:val="center"/>
                    <w:rPr>
                      <w:rFonts w:ascii="宋体" w:hAnsi="宋体"/>
                      <w:szCs w:val="21"/>
                    </w:rPr>
                  </w:pPr>
                  <w:r>
                    <w:rPr>
                      <w:rFonts w:ascii="宋体" w:hAnsi="宋体"/>
                      <w:szCs w:val="21"/>
                    </w:rPr>
                    <w:t>100%</w:t>
                  </w:r>
                </w:p>
              </w:tc>
            </w:tr>
          </w:tbl>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O7.1 </w:t>
            </w:r>
          </w:p>
        </w:tc>
        <w:tc>
          <w:tcPr>
            <w:tcW w:w="745" w:type="dxa"/>
          </w:tcPr>
          <w:p>
            <w:r>
              <w:rPr>
                <w:rFonts w:hint="eastAsia"/>
              </w:rPr>
              <w:t>文件名称</w:t>
            </w:r>
          </w:p>
        </w:tc>
        <w:tc>
          <w:tcPr>
            <w:tcW w:w="9259" w:type="dxa"/>
            <w:vAlign w:val="center"/>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和最高管理层确定并提供所需的资源，以建立、实施、保持和持续改进质量管理体系。 </w:t>
            </w:r>
          </w:p>
          <w:p>
            <w:pPr>
              <w:numPr>
                <w:ilvl w:val="0"/>
                <w:numId w:val="2"/>
              </w:numPr>
              <w:rPr>
                <w:szCs w:val="21"/>
              </w:rPr>
            </w:pPr>
            <w:r>
              <w:rPr>
                <w:rFonts w:hint="eastAsia"/>
                <w:szCs w:val="21"/>
              </w:rPr>
              <w:t>现有内部资源的能力；</w:t>
            </w:r>
          </w:p>
          <w:p>
            <w:r>
              <w:rPr>
                <w:rFonts w:hint="eastAsia"/>
              </w:rPr>
              <w:t>建筑面积</w:t>
            </w:r>
            <w:r>
              <w:rPr>
                <w:rFonts w:hint="eastAsia"/>
                <w:u w:val="single"/>
              </w:rPr>
              <w:t xml:space="preserve"> </w:t>
            </w:r>
            <w:r>
              <w:rPr>
                <w:u w:val="single"/>
              </w:rPr>
              <w:t xml:space="preserve"> 420</w:t>
            </w:r>
            <w:r>
              <w:rPr>
                <w:rFonts w:hint="eastAsia"/>
                <w:u w:val="single"/>
              </w:rPr>
              <w:t xml:space="preserve"> </w:t>
            </w:r>
            <w:r>
              <w:rPr>
                <w:rFonts w:hint="eastAsia"/>
              </w:rPr>
              <w:t>平方米；厨房</w:t>
            </w:r>
            <w:r>
              <w:rPr>
                <w:rFonts w:hint="eastAsia"/>
                <w:u w:val="single"/>
              </w:rPr>
              <w:t xml:space="preserve"> 1 </w:t>
            </w:r>
            <w:r>
              <w:rPr>
                <w:rFonts w:hint="eastAsia"/>
              </w:rPr>
              <w:t>个；库房</w:t>
            </w:r>
            <w:r>
              <w:rPr>
                <w:rFonts w:hint="eastAsia"/>
                <w:u w:val="single"/>
              </w:rPr>
              <w:t xml:space="preserve"> 1 </w:t>
            </w:r>
            <w:r>
              <w:rPr>
                <w:rFonts w:hint="eastAsia"/>
              </w:rPr>
              <w:t>个，用餐场所</w:t>
            </w:r>
            <w:r>
              <w:rPr>
                <w:rFonts w:hint="eastAsia"/>
                <w:u w:val="single"/>
              </w:rPr>
              <w:t xml:space="preserve"> 1</w:t>
            </w:r>
            <w:r>
              <w:rPr>
                <w:rFonts w:hint="eastAsia"/>
              </w:rPr>
              <w:t>个。</w:t>
            </w:r>
          </w:p>
          <w:p>
            <w:pPr>
              <w:widowControl/>
              <w:spacing w:before="40"/>
              <w:jc w:val="left"/>
            </w:pPr>
            <w:r>
              <w:rPr>
                <w:rFonts w:hint="eastAsia"/>
              </w:rPr>
              <w:t>动力设施和辅助设施的状况，存在下列的场所：</w:t>
            </w:r>
          </w:p>
          <w:p>
            <w:pPr>
              <w:widowControl/>
              <w:spacing w:before="40"/>
              <w:ind w:firstLine="210" w:firstLineChars="100"/>
              <w:jc w:val="left"/>
            </w:pPr>
            <w:r>
              <w:rPr/>
              <w:sym w:font="Wingdings" w:char="00A8"/>
            </w:r>
            <w:r>
              <w:rPr>
                <w:rFonts w:hint="eastAsia"/>
              </w:rPr>
              <w:t xml:space="preserve">污水处理站  </w:t>
            </w:r>
            <w:r>
              <w:rPr/>
              <w:sym w:font="Wingdings" w:char="00A8"/>
            </w:r>
            <w:r>
              <w:rPr>
                <w:rFonts w:hint="eastAsia"/>
              </w:rPr>
              <w:t xml:space="preserve">锅炉房  </w:t>
            </w:r>
            <w:r>
              <w:rPr/>
              <w:sym w:font="Wingdings" w:char="00A8"/>
            </w:r>
            <w:r>
              <w:rPr>
                <w:rFonts w:hint="eastAsia"/>
              </w:rPr>
              <w:t xml:space="preserve">高压配电室  </w:t>
            </w:r>
            <w:r>
              <w:rPr/>
              <w:sym w:font="Wingdings" w:char="00A8"/>
            </w:r>
            <w:r>
              <w:rPr>
                <w:rFonts w:hint="eastAsia"/>
              </w:rPr>
              <w:t xml:space="preserve">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消防中控室</w:t>
            </w:r>
          </w:p>
          <w:p>
            <w:pPr>
              <w:widowControl/>
              <w:spacing w:before="40"/>
              <w:ind w:left="210" w:leftChars="100"/>
              <w:jc w:val="left"/>
            </w:pPr>
            <w:r>
              <w:rPr/>
              <w:sym w:font="Wingdings" w:char="00A8"/>
            </w:r>
            <w:r>
              <w:rPr>
                <w:rFonts w:hint="eastAsia"/>
              </w:rPr>
              <w:t xml:space="preserve">消防泵房   </w:t>
            </w:r>
            <w:r>
              <w:rPr/>
              <w:sym w:font="Wingdings" w:char="00A8"/>
            </w:r>
            <w:r>
              <w:rPr>
                <w:rFonts w:hint="eastAsia"/>
              </w:rPr>
              <w:t xml:space="preserve">除尘装置 </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 xml:space="preserve">改建/扩建施工现场 </w:t>
            </w:r>
            <w:r>
              <w:rPr>
                <w:rFonts w:hint="eastAsia"/>
              </w:rPr>
              <w:sym w:font="Wingdings" w:char="00FE"/>
            </w:r>
            <w:r>
              <w:rPr>
                <w:rFonts w:hint="eastAsia"/>
              </w:rPr>
              <w:t xml:space="preserve">食堂  </w:t>
            </w:r>
            <w:r>
              <w:rPr/>
              <w:sym w:font="Wingdings" w:char="00A8"/>
            </w:r>
            <w:r>
              <w:rPr>
                <w:rFonts w:hint="eastAsia"/>
              </w:rPr>
              <w:t xml:space="preserve">宿舍  </w:t>
            </w:r>
            <w:r>
              <w:rPr/>
              <w:sym w:font="Wingdings" w:char="00A8"/>
            </w:r>
            <w:r>
              <w:rPr>
                <w:rFonts w:hint="eastAsia"/>
              </w:rPr>
              <w:t xml:space="preserve">班车  </w:t>
            </w:r>
            <w:r>
              <w:rPr/>
              <w:sym w:font="Wingdings" w:char="00A8"/>
            </w:r>
            <w:r>
              <w:rPr>
                <w:rFonts w:hint="eastAsia"/>
              </w:rPr>
              <w:t xml:space="preserve">其他—— </w:t>
            </w:r>
          </w:p>
          <w:p/>
          <w:p>
            <w:pPr>
              <w:rPr>
                <w:u w:val="single"/>
              </w:rPr>
            </w:pPr>
            <w:r>
              <w:rPr>
                <w:rFonts w:hint="eastAsia"/>
              </w:rPr>
              <w:t>主要生产设备有：</w:t>
            </w:r>
            <w:r>
              <w:rPr>
                <w:rFonts w:hint="eastAsia"/>
                <w:u w:val="single"/>
              </w:rPr>
              <w:t xml:space="preserve">   电炒锅、抽风机，蒸饭机，冰柜，留样柜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szCs w:val="21"/>
              </w:rPr>
            </w:pPr>
          </w:p>
          <w:p>
            <w:pPr>
              <w:rPr>
                <w:szCs w:val="21"/>
              </w:rPr>
            </w:pPr>
            <w:r>
              <w:rPr>
                <w:rFonts w:hint="eastAsia"/>
                <w:szCs w:val="21"/>
              </w:rPr>
              <w:t>还存在哪些局限和不足：</w:t>
            </w:r>
            <w:r>
              <w:rPr>
                <w:rFonts w:hint="eastAsia"/>
                <w:u w:val="single"/>
              </w:rPr>
              <w:t xml:space="preserve">                                  </w:t>
            </w:r>
          </w:p>
          <w:p>
            <w:pPr>
              <w:rPr>
                <w:szCs w:val="21"/>
              </w:rPr>
            </w:pPr>
          </w:p>
          <w:p>
            <w:pPr>
              <w:numPr>
                <w:ilvl w:val="0"/>
                <w:numId w:val="2"/>
              </w:numPr>
            </w:pPr>
            <w:r>
              <w:rPr>
                <w:rFonts w:hint="eastAsia"/>
                <w:szCs w:val="21"/>
              </w:rPr>
              <w:t>需要从外部供方获得的资源：</w:t>
            </w:r>
            <w:r>
              <w:rPr>
                <w:rFonts w:hint="eastAsia"/>
              </w:rPr>
              <w:t xml:space="preserve"> </w:t>
            </w:r>
            <w:r>
              <w:rPr>
                <w:rFonts w:hint="eastAsia"/>
                <w:u w:val="single"/>
              </w:rPr>
              <w:t xml:space="preserve">  无   </w:t>
            </w:r>
            <w:r>
              <w:rPr>
                <w:rFonts w:hint="eastAsia"/>
              </w:rPr>
              <w:t xml:space="preserve"> </w:t>
            </w:r>
          </w:p>
          <w:p>
            <w:pPr>
              <w:tabs>
                <w:tab w:val="left" w:pos="312"/>
              </w:tabs>
            </w:pP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O7.3  </w:t>
            </w:r>
          </w:p>
        </w:tc>
        <w:tc>
          <w:tcPr>
            <w:tcW w:w="745" w:type="dxa"/>
          </w:tcPr>
          <w:p>
            <w:r>
              <w:rPr>
                <w:rFonts w:hint="eastAsia"/>
              </w:rPr>
              <w:t>文件名称</w:t>
            </w:r>
          </w:p>
        </w:tc>
        <w:tc>
          <w:tcPr>
            <w:tcW w:w="9259" w:type="dxa"/>
            <w:vAlign w:val="center"/>
          </w:tcPr>
          <w:p>
            <w:r>
              <w:rPr>
                <w:rFonts w:hint="eastAsia"/>
              </w:rPr>
              <w:t>如：《人员安排控制程序》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组织工作人员提高职业健康安全意识的方式： </w:t>
            </w:r>
          </w:p>
          <w:p/>
          <w:tbl>
            <w:tblPr>
              <w:tblStyle w:val="7"/>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32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jc w:val="center"/>
                  </w:pPr>
                  <w:r>
                    <w:rPr>
                      <w:rFonts w:hint="eastAsia"/>
                    </w:rPr>
                    <w:t>需要让员工知晓的内容</w:t>
                  </w:r>
                </w:p>
              </w:tc>
              <w:tc>
                <w:tcPr>
                  <w:tcW w:w="4322" w:type="dxa"/>
                </w:tcPr>
                <w:p>
                  <w:pPr>
                    <w:jc w:val="center"/>
                  </w:pPr>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职业健康安全方针和职业健康安全目标</w:t>
                  </w:r>
                </w:p>
              </w:tc>
              <w:tc>
                <w:tcPr>
                  <w:tcW w:w="4322"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其对职业健康安全管理体系有效性的贡献作用，包括提升职业健康安全绩效的益处</w:t>
                  </w:r>
                </w:p>
              </w:tc>
              <w:tc>
                <w:tcPr>
                  <w:tcW w:w="4322"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不符合职业健康安全管理体系要求的影响和潜在后果</w:t>
                  </w:r>
                </w:p>
              </w:tc>
              <w:tc>
                <w:tcPr>
                  <w:tcW w:w="4322"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 与其相关的事件和调查结果</w:t>
                  </w:r>
                </w:p>
              </w:tc>
              <w:tc>
                <w:tcPr>
                  <w:tcW w:w="432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与其相关的危险源、职业健康安全风险和所确定的措施</w:t>
                  </w:r>
                </w:p>
              </w:tc>
              <w:tc>
                <w:tcPr>
                  <w:tcW w:w="4322"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从其所认为的存在急迫且严重</w:t>
                  </w:r>
                  <w:r>
                    <w:t>危</w:t>
                  </w:r>
                  <w:r>
                    <w:rPr>
                      <w:rFonts w:hint="eastAsia"/>
                    </w:rPr>
                    <w:t>及其生命或健康的工作状况中逃离的能力，以及为保护其免遭由此而产生的不当后果所做出的安排</w:t>
                  </w:r>
                </w:p>
              </w:tc>
              <w:tc>
                <w:tcPr>
                  <w:tcW w:w="4322" w:type="dxa"/>
                  <w:vAlign w:val="center"/>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运行策划和控制</w:t>
            </w:r>
          </w:p>
        </w:tc>
        <w:tc>
          <w:tcPr>
            <w:tcW w:w="960" w:type="dxa"/>
            <w:vMerge w:val="restart"/>
          </w:tcPr>
          <w:p>
            <w:r>
              <w:rPr>
                <w:rFonts w:hint="eastAsia"/>
              </w:rPr>
              <w:t>O8</w:t>
            </w:r>
            <w:r>
              <w:rPr>
                <w:szCs w:val="21"/>
              </w:rPr>
              <w:t>.</w:t>
            </w:r>
            <w:r>
              <w:rPr>
                <w:rFonts w:hint="eastAsia"/>
                <w:szCs w:val="21"/>
              </w:rPr>
              <w:t>1</w:t>
            </w:r>
            <w:r>
              <w:rPr>
                <w:szCs w:val="21"/>
              </w:rPr>
              <w:t>.</w:t>
            </w:r>
            <w:r>
              <w:rPr>
                <w:rFonts w:hint="eastAsia"/>
                <w:szCs w:val="21"/>
              </w:rPr>
              <w:t>1</w:t>
            </w:r>
          </w:p>
        </w:tc>
        <w:tc>
          <w:tcPr>
            <w:tcW w:w="745" w:type="dxa"/>
          </w:tcPr>
          <w:p>
            <w:r>
              <w:rPr>
                <w:rFonts w:hint="eastAsia"/>
              </w:rPr>
              <w:t>文件名称</w:t>
            </w:r>
          </w:p>
        </w:tc>
        <w:tc>
          <w:tcPr>
            <w:tcW w:w="9259" w:type="dxa"/>
            <w:vAlign w:val="center"/>
          </w:tcPr>
          <w:p>
            <w:r>
              <w:rPr>
                <w:rFonts w:hint="eastAsia"/>
              </w:rPr>
              <w:t>如管理手册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t>组织策划、实施、控制和保持所需的过程</w:t>
            </w:r>
            <w:r>
              <w:rPr>
                <w:rFonts w:hint="eastAsia"/>
              </w:rPr>
              <w:t>：</w:t>
            </w:r>
          </w:p>
          <w:p/>
          <w:tbl>
            <w:tblPr>
              <w:tblStyle w:val="7"/>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3118"/>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4" w:type="dxa"/>
                  <w:vAlign w:val="center"/>
                </w:tcPr>
                <w:p>
                  <w:pPr>
                    <w:jc w:val="center"/>
                  </w:pPr>
                  <w:r>
                    <w:rPr>
                      <w:rFonts w:hint="eastAsia"/>
                    </w:rPr>
                    <w:t>步骤</w:t>
                  </w:r>
                </w:p>
              </w:tc>
              <w:tc>
                <w:tcPr>
                  <w:tcW w:w="3118" w:type="dxa"/>
                  <w:vAlign w:val="center"/>
                </w:tcPr>
                <w:p>
                  <w:pPr>
                    <w:jc w:val="center"/>
                  </w:pPr>
                  <w:r>
                    <w:rPr>
                      <w:rFonts w:hint="eastAsia"/>
                    </w:rPr>
                    <w:t>职业健康安全措施</w:t>
                  </w:r>
                </w:p>
              </w:tc>
              <w:tc>
                <w:tcPr>
                  <w:tcW w:w="1961" w:type="dxa"/>
                  <w:vAlign w:val="center"/>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4" w:type="dxa"/>
                  <w:vAlign w:val="center"/>
                </w:tcPr>
                <w:p>
                  <w:r>
                    <w:rPr>
                      <w:rFonts w:hint="eastAsia"/>
                    </w:rPr>
                    <w:t xml:space="preserve"> 建立过程准则；</w:t>
                  </w:r>
                </w:p>
              </w:tc>
              <w:tc>
                <w:tcPr>
                  <w:tcW w:w="3118" w:type="dxa"/>
                </w:tcPr>
                <w:p>
                  <w:r>
                    <w:rPr>
                      <w:rFonts w:hint="eastAsia"/>
                    </w:rPr>
                    <w:t>编制《健康安全目标管理方案》</w:t>
                  </w:r>
                </w:p>
              </w:tc>
              <w:tc>
                <w:tcPr>
                  <w:tcW w:w="1961" w:type="dxa"/>
                  <w:vAlign w:val="center"/>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4" w:type="dxa"/>
                  <w:vAlign w:val="center"/>
                </w:tcPr>
                <w:p>
                  <w:r>
                    <w:rPr>
                      <w:rFonts w:hint="eastAsia"/>
                    </w:rPr>
                    <w:t>按照准则实施过程控制；</w:t>
                  </w:r>
                </w:p>
              </w:tc>
              <w:tc>
                <w:tcPr>
                  <w:tcW w:w="3118" w:type="dxa"/>
                  <w:vAlign w:val="center"/>
                </w:tcPr>
                <w:p>
                  <w:r>
                    <w:rPr>
                      <w:rFonts w:hint="eastAsia"/>
                    </w:rPr>
                    <w:t>有《职业健康安全目标管理方案考核表》</w:t>
                  </w:r>
                </w:p>
              </w:tc>
              <w:tc>
                <w:tcPr>
                  <w:tcW w:w="1961" w:type="dxa"/>
                  <w:vAlign w:val="center"/>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4" w:type="dxa"/>
                </w:tcPr>
                <w:p>
                  <w:r>
                    <w:rPr>
                      <w:rFonts w:hint="eastAsia"/>
                    </w:rPr>
                    <w:t>保持和保留必要的文件化信息，以确信过程已按策划得到实施；</w:t>
                  </w:r>
                </w:p>
              </w:tc>
              <w:tc>
                <w:tcPr>
                  <w:tcW w:w="3118" w:type="dxa"/>
                  <w:vAlign w:val="center"/>
                </w:tcPr>
                <w:p>
                  <w:r>
                    <w:rPr>
                      <w:rFonts w:hint="eastAsia"/>
                    </w:rPr>
                    <w:t>有《职业健康安全目标管理方案考核表》</w:t>
                  </w:r>
                </w:p>
              </w:tc>
              <w:tc>
                <w:tcPr>
                  <w:tcW w:w="1961" w:type="dxa"/>
                  <w:vAlign w:val="center"/>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4" w:type="dxa"/>
                </w:tcPr>
                <w:p>
                  <w:r>
                    <w:rPr>
                      <w:rFonts w:hint="eastAsia"/>
                    </w:rPr>
                    <w:t>使工作适合于工作人员。</w:t>
                  </w:r>
                </w:p>
              </w:tc>
              <w:tc>
                <w:tcPr>
                  <w:tcW w:w="3118" w:type="dxa"/>
                  <w:vAlign w:val="center"/>
                </w:tcPr>
                <w:p>
                  <w:r>
                    <w:rPr>
                      <w:rFonts w:hint="eastAsia"/>
                    </w:rPr>
                    <w:t>征求员工的意见</w:t>
                  </w:r>
                </w:p>
              </w:tc>
              <w:tc>
                <w:tcPr>
                  <w:tcW w:w="1961" w:type="dxa"/>
                  <w:vAlign w:val="center"/>
                </w:tcPr>
                <w:p>
                  <w:r>
                    <w:rPr>
                      <w:rFonts w:ascii="Segoe UI Emoji" w:hAnsi="Segoe UI Emoji" w:cs="Segoe UI Emoji"/>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4" w:type="dxa"/>
                </w:tcPr>
                <w:p>
                  <w:r>
                    <w:rPr>
                      <w:rFonts w:hint="eastAsia"/>
                    </w:rPr>
                    <w:t>在多雇主的工作场所，组织应与其他组织协调职业健康安全管理体系的相关部分。</w:t>
                  </w:r>
                </w:p>
              </w:tc>
              <w:tc>
                <w:tcPr>
                  <w:tcW w:w="3118" w:type="dxa"/>
                  <w:vAlign w:val="center"/>
                </w:tcPr>
                <w:p>
                  <w:r>
                    <w:rPr>
                      <w:rFonts w:hint="eastAsia"/>
                    </w:rPr>
                    <w:t>无</w:t>
                  </w:r>
                </w:p>
              </w:tc>
              <w:tc>
                <w:tcPr>
                  <w:tcW w:w="1961" w:type="dxa"/>
                  <w:vAlign w:val="center"/>
                </w:tcPr>
                <w:p>
                  <w:r>
                    <w:rPr>
                      <w:rFonts w:hint="eastAsia"/>
                      <w:color w:val="000000"/>
                      <w:szCs w:val="21"/>
                    </w:rPr>
                    <w:t>□</w:t>
                  </w:r>
                  <w:r>
                    <w:rPr>
                      <w:rFonts w:hint="eastAsia"/>
                    </w:rPr>
                    <w:t xml:space="preserve">充分 </w:t>
                  </w:r>
                  <w:r>
                    <w:t xml:space="preserve"> </w:t>
                  </w:r>
                  <w:r>
                    <w:rPr>
                      <w:rFonts w:hint="eastAsia"/>
                      <w:color w:val="000000"/>
                      <w:szCs w:val="21"/>
                    </w:rPr>
                    <w:t>□</w:t>
                  </w:r>
                  <w:r>
                    <w:rPr>
                      <w:rFonts w:hint="eastAsia"/>
                    </w:rPr>
                    <w:t>不充分</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szCs w:val="21"/>
              </w:rPr>
              <w:t>变更管理</w:t>
            </w:r>
          </w:p>
        </w:tc>
        <w:tc>
          <w:tcPr>
            <w:tcW w:w="960" w:type="dxa"/>
            <w:vMerge w:val="restart"/>
          </w:tcPr>
          <w:p>
            <w:r>
              <w:rPr>
                <w:rFonts w:hint="eastAsia"/>
              </w:rPr>
              <w:t xml:space="preserve">O8.1.3 </w:t>
            </w:r>
            <w:r>
              <w:rPr>
                <w:rFonts w:hint="eastAsia"/>
                <w:szCs w:val="21"/>
              </w:rPr>
              <w:t> </w:t>
            </w:r>
          </w:p>
        </w:tc>
        <w:tc>
          <w:tcPr>
            <w:tcW w:w="745" w:type="dxa"/>
          </w:tcPr>
          <w:p>
            <w:r>
              <w:rPr>
                <w:rFonts w:hint="eastAsia"/>
              </w:rPr>
              <w:t>文件名称</w:t>
            </w:r>
          </w:p>
        </w:tc>
        <w:tc>
          <w:tcPr>
            <w:tcW w:w="9259" w:type="dxa"/>
          </w:tcPr>
          <w:p>
            <w:r>
              <w:rPr>
                <w:rFonts w:hint="eastAsia"/>
              </w:rPr>
              <w:t>如：管理手册</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变更的内容：  </w:t>
            </w:r>
          </w:p>
          <w:p>
            <w:r>
              <w:rPr>
                <w:rFonts w:ascii="Segoe UI Emoji" w:hAnsi="Segoe UI Emoji" w:cs="Segoe UI Emoji"/>
              </w:rPr>
              <w:t>☑</w:t>
            </w:r>
            <w:r>
              <w:rPr>
                <w:rFonts w:hint="eastAsia"/>
              </w:rPr>
              <w:t xml:space="preserve">工作场所的位置和周边环境  □工作组织  □工作条件 □设备 □劳动力 □法律法规要求和其他要求的变更   </w:t>
            </w:r>
            <w:r>
              <w:rPr>
                <w:rFonts w:hint="eastAsia"/>
              </w:rPr>
              <w:sym w:font="Wingdings" w:char="00A8"/>
            </w:r>
            <w:r>
              <w:rPr>
                <w:rFonts w:hint="eastAsia"/>
              </w:rPr>
              <w:t xml:space="preserve">有关危险源和职业健康安全风险的知识或信息的变更  </w:t>
            </w:r>
            <w:r>
              <w:rPr>
                <w:rFonts w:hint="eastAsia"/>
              </w:rPr>
              <w:sym w:font="Wingdings" w:char="00A8"/>
            </w:r>
            <w:r>
              <w:rPr>
                <w:rFonts w:hint="eastAsia"/>
              </w:rPr>
              <w:t xml:space="preserve">知识和技术的发展 </w:t>
            </w:r>
          </w:p>
          <w:p>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26"/>
              <w:gridCol w:w="2121"/>
              <w:gridCol w:w="1162"/>
              <w:gridCol w:w="126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r>
                    <w:rPr>
                      <w:rFonts w:hint="eastAsia"/>
                    </w:rPr>
                    <w:t>日期</w:t>
                  </w:r>
                </w:p>
              </w:tc>
              <w:tc>
                <w:tcPr>
                  <w:tcW w:w="1726" w:type="dxa"/>
                  <w:vAlign w:val="center"/>
                </w:tcPr>
                <w:p>
                  <w:r>
                    <w:rPr>
                      <w:rFonts w:hint="eastAsia"/>
                    </w:rPr>
                    <w:t>变更的原因</w:t>
                  </w:r>
                </w:p>
              </w:tc>
              <w:tc>
                <w:tcPr>
                  <w:tcW w:w="2121" w:type="dxa"/>
                  <w:vAlign w:val="center"/>
                </w:tcPr>
                <w:p>
                  <w:r>
                    <w:rPr>
                      <w:rFonts w:hint="eastAsia"/>
                    </w:rPr>
                    <w:t>变更的内容</w:t>
                  </w:r>
                </w:p>
              </w:tc>
              <w:tc>
                <w:tcPr>
                  <w:tcW w:w="1162" w:type="dxa"/>
                  <w:vAlign w:val="center"/>
                </w:tcPr>
                <w:p>
                  <w:r>
                    <w:rPr>
                      <w:rFonts w:hint="eastAsia"/>
                    </w:rPr>
                    <w:t>变更性质</w:t>
                  </w:r>
                </w:p>
              </w:tc>
              <w:tc>
                <w:tcPr>
                  <w:tcW w:w="1264" w:type="dxa"/>
                  <w:vAlign w:val="center"/>
                </w:tcPr>
                <w:p>
                  <w:r>
                    <w:rPr>
                      <w:rFonts w:hint="eastAsia"/>
                    </w:rPr>
                    <w:t>评审结果</w:t>
                  </w:r>
                </w:p>
              </w:tc>
              <w:tc>
                <w:tcPr>
                  <w:tcW w:w="1807" w:type="dxa"/>
                  <w:vAlign w:val="center"/>
                </w:tcPr>
                <w:p>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r>
                    <w:rPr>
                      <w:rFonts w:hint="eastAsia"/>
                    </w:rPr>
                    <w:t>2</w:t>
                  </w:r>
                  <w:r>
                    <w:t>020</w:t>
                  </w:r>
                  <w:r>
                    <w:rPr>
                      <w:rFonts w:hint="eastAsia"/>
                    </w:rPr>
                    <w:t>-</w:t>
                  </w:r>
                  <w:r>
                    <w:t>04</w:t>
                  </w:r>
                </w:p>
              </w:tc>
              <w:tc>
                <w:tcPr>
                  <w:tcW w:w="1726" w:type="dxa"/>
                  <w:vAlign w:val="center"/>
                </w:tcPr>
                <w:p>
                  <w:r>
                    <w:rPr>
                      <w:rFonts w:hint="eastAsia"/>
                    </w:rPr>
                    <w:t>适应企业发展，扩大经营规模</w:t>
                  </w:r>
                </w:p>
              </w:tc>
              <w:tc>
                <w:tcPr>
                  <w:tcW w:w="2121" w:type="dxa"/>
                  <w:vAlign w:val="center"/>
                </w:tcPr>
                <w:p>
                  <w:r>
                    <w:rPr>
                      <w:rFonts w:hint="eastAsia"/>
                    </w:rPr>
                    <w:t>住所和经营场所变更</w:t>
                  </w:r>
                </w:p>
              </w:tc>
              <w:tc>
                <w:tcPr>
                  <w:tcW w:w="1162" w:type="dxa"/>
                  <w:vAlign w:val="center"/>
                </w:tcPr>
                <w:p>
                  <w:r>
                    <w:rPr>
                      <w:rFonts w:hint="eastAsia"/>
                    </w:rPr>
                    <w:sym w:font="Wingdings" w:char="00A8"/>
                  </w:r>
                  <w:r>
                    <w:rPr>
                      <w:rFonts w:hint="eastAsia"/>
                    </w:rPr>
                    <w:t>临时性</w:t>
                  </w:r>
                </w:p>
                <w:p>
                  <w:r>
                    <w:rPr>
                      <w:rFonts w:ascii="Segoe UI Emoji" w:hAnsi="Segoe UI Emoji" w:cs="Segoe UI Emoji"/>
                    </w:rPr>
                    <w:t>☑</w:t>
                  </w:r>
                  <w:r>
                    <w:rPr>
                      <w:rFonts w:hint="eastAsia"/>
                    </w:rPr>
                    <w:t>永久性</w:t>
                  </w:r>
                </w:p>
              </w:tc>
              <w:tc>
                <w:tcPr>
                  <w:tcW w:w="1264" w:type="dxa"/>
                  <w:vAlign w:val="center"/>
                </w:tcPr>
                <w:p>
                  <w:r>
                    <w:rPr>
                      <w:rFonts w:hint="eastAsia"/>
                    </w:rPr>
                    <w:t>符合要求</w:t>
                  </w:r>
                </w:p>
              </w:tc>
              <w:tc>
                <w:tcPr>
                  <w:tcW w:w="1807" w:type="dxa"/>
                  <w:vAlign w:val="center"/>
                </w:tcPr>
                <w:p>
                  <w:r>
                    <w:rPr>
                      <w:rFonts w:hint="eastAsia"/>
                    </w:rPr>
                    <w:t>工作场所按五体系的相关要求进行布置，配备所需资源，规范化运行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tc>
              <w:tc>
                <w:tcPr>
                  <w:tcW w:w="1726" w:type="dxa"/>
                </w:tcPr>
                <w:p/>
              </w:tc>
              <w:tc>
                <w:tcPr>
                  <w:tcW w:w="2121" w:type="dxa"/>
                </w:tcPr>
                <w:p/>
              </w:tc>
              <w:tc>
                <w:tcPr>
                  <w:tcW w:w="1162" w:type="dxa"/>
                </w:tcPr>
                <w:p>
                  <w:r>
                    <w:rPr>
                      <w:rFonts w:hint="eastAsia"/>
                    </w:rPr>
                    <w:sym w:font="Wingdings" w:char="00A8"/>
                  </w:r>
                  <w:r>
                    <w:rPr>
                      <w:rFonts w:hint="eastAsia"/>
                    </w:rPr>
                    <w:t>临时性</w:t>
                  </w:r>
                </w:p>
                <w:p>
                  <w:r>
                    <w:rPr>
                      <w:rFonts w:hint="eastAsia"/>
                    </w:rPr>
                    <w:sym w:font="Wingdings" w:char="00A8"/>
                  </w:r>
                  <w:r>
                    <w:rPr>
                      <w:rFonts w:hint="eastAsia"/>
                    </w:rPr>
                    <w:t>永久性</w:t>
                  </w:r>
                </w:p>
              </w:tc>
              <w:tc>
                <w:tcPr>
                  <w:tcW w:w="1264" w:type="dxa"/>
                </w:tcPr>
                <w:p/>
              </w:tc>
              <w:tc>
                <w:tcPr>
                  <w:tcW w:w="1807" w:type="dxa"/>
                </w:tcPr>
                <w:p/>
              </w:tc>
            </w:tr>
          </w:tbl>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w:t>
            </w:r>
          </w:p>
        </w:tc>
        <w:tc>
          <w:tcPr>
            <w:tcW w:w="960" w:type="dxa"/>
            <w:vMerge w:val="restart"/>
          </w:tcPr>
          <w:p>
            <w:r>
              <w:rPr>
                <w:rFonts w:hint="eastAsia"/>
              </w:rPr>
              <w:t>O9.1.1</w:t>
            </w:r>
          </w:p>
        </w:tc>
        <w:tc>
          <w:tcPr>
            <w:tcW w:w="745"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《环境和职业健康安全监视和测量控制程序》、</w:t>
            </w:r>
            <w:r>
              <w:rPr>
                <w:rFonts w:hint="eastAsia"/>
              </w:rPr>
              <w:sym w:font="Wingdings" w:char="00FE"/>
            </w:r>
            <w:r>
              <w:rPr>
                <w:rFonts w:hint="eastAsia"/>
              </w:rPr>
              <w:t>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组织对监视和测量的职业健康安全绩效</w:t>
            </w:r>
          </w:p>
          <w:tbl>
            <w:tblPr>
              <w:tblStyle w:val="7"/>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984"/>
              <w:gridCol w:w="1984"/>
              <w:gridCol w:w="170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jc w:val="center"/>
                  </w:pPr>
                  <w:r>
                    <w:rPr>
                      <w:rFonts w:hint="eastAsia"/>
                    </w:rPr>
                    <w:t>监视和测量的对象</w:t>
                  </w:r>
                </w:p>
              </w:tc>
              <w:tc>
                <w:tcPr>
                  <w:tcW w:w="1984" w:type="dxa"/>
                  <w:vAlign w:val="center"/>
                </w:tcPr>
                <w:p>
                  <w:pPr>
                    <w:jc w:val="center"/>
                  </w:pPr>
                  <w:r>
                    <w:rPr>
                      <w:rFonts w:hint="eastAsia"/>
                    </w:rPr>
                    <w:t>监视、测量、分析和评价的方法</w:t>
                  </w:r>
                </w:p>
              </w:tc>
              <w:tc>
                <w:tcPr>
                  <w:tcW w:w="1984" w:type="dxa"/>
                  <w:vAlign w:val="center"/>
                </w:tcPr>
                <w:p>
                  <w:pPr>
                    <w:jc w:val="center"/>
                  </w:pPr>
                  <w:r>
                    <w:rPr>
                      <w:rFonts w:hint="eastAsia"/>
                    </w:rPr>
                    <w:t>监视和测量的频次和时机</w:t>
                  </w:r>
                </w:p>
              </w:tc>
              <w:tc>
                <w:tcPr>
                  <w:tcW w:w="1702" w:type="dxa"/>
                  <w:vAlign w:val="center"/>
                </w:tcPr>
                <w:p>
                  <w:pPr>
                    <w:jc w:val="center"/>
                  </w:pPr>
                  <w:r>
                    <w:rPr>
                      <w:rFonts w:hint="eastAsia"/>
                    </w:rPr>
                    <w:t>评价其OHS绩效所依据的准则和适当的参数</w:t>
                  </w:r>
                </w:p>
              </w:tc>
              <w:tc>
                <w:tcPr>
                  <w:tcW w:w="1842" w:type="dxa"/>
                  <w:vAlign w:val="center"/>
                </w:tcPr>
                <w:p>
                  <w:pPr>
                    <w:jc w:val="center"/>
                  </w:pPr>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r>
                    <w:rPr>
                      <w:rFonts w:hint="eastAsia"/>
                    </w:rPr>
                    <w:t>满足法律法规要求和其他要求的程度；</w:t>
                  </w:r>
                </w:p>
              </w:tc>
              <w:tc>
                <w:tcPr>
                  <w:tcW w:w="1984" w:type="dxa"/>
                  <w:vAlign w:val="center"/>
                </w:tcPr>
                <w:p>
                  <w:r>
                    <w:rPr>
                      <w:rFonts w:hint="eastAsia"/>
                    </w:rPr>
                    <w:t>职业健康和安全监测和检查；对结果的合规性进行分析</w:t>
                  </w:r>
                </w:p>
              </w:tc>
              <w:tc>
                <w:tcPr>
                  <w:tcW w:w="198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702" w:type="dxa"/>
                  <w:vAlign w:val="center"/>
                </w:tcPr>
                <w:p>
                  <w:r>
                    <w:rPr>
                      <w:rFonts w:hint="eastAsia"/>
                    </w:rPr>
                    <w:t>相关标准</w:t>
                  </w:r>
                </w:p>
                <w:p>
                  <w:pPr>
                    <w:pStyle w:val="2"/>
                  </w:pPr>
                  <w:r>
                    <w:rPr>
                      <w:rFonts w:hint="eastAsia"/>
                    </w:rPr>
                    <w:t>合规性评价</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r>
                    <w:rPr>
                      <w:rFonts w:hint="eastAsia"/>
                    </w:rPr>
                    <w:t>与所辨识的危险源、风险和机遇相关的活动和运行</w:t>
                  </w:r>
                </w:p>
              </w:tc>
              <w:tc>
                <w:tcPr>
                  <w:tcW w:w="1984" w:type="dxa"/>
                  <w:vAlign w:val="center"/>
                </w:tcPr>
                <w:p>
                  <w:r>
                    <w:rPr>
                      <w:rFonts w:hint="eastAsia"/>
                    </w:rPr>
                    <w:t>现场巡视</w:t>
                  </w:r>
                </w:p>
                <w:p>
                  <w:r>
                    <w:rPr>
                      <w:rFonts w:hint="eastAsia"/>
                    </w:rPr>
                    <w:t>抽查记录</w:t>
                  </w:r>
                </w:p>
              </w:tc>
              <w:tc>
                <w:tcPr>
                  <w:tcW w:w="1984" w:type="dxa"/>
                </w:tcPr>
                <w:p>
                  <w:r>
                    <w:rPr>
                      <w:rFonts w:ascii="Segoe UI Emoji" w:hAnsi="Segoe UI Emoji" w:cs="Segoe UI Emoji"/>
                      <w:szCs w:val="21"/>
                    </w:rPr>
                    <w:t>☑</w:t>
                  </w:r>
                  <w:r>
                    <w:rPr>
                      <w:rFonts w:hint="eastAsia"/>
                      <w:szCs w:val="21"/>
                    </w:rPr>
                    <w:t>每天 ☑</w:t>
                  </w:r>
                  <w:r>
                    <w:rPr>
                      <w:rFonts w:hint="eastAsia"/>
                    </w:rPr>
                    <w:t>每周</w:t>
                  </w:r>
                </w:p>
                <w:p>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702" w:type="dxa"/>
                  <w:vAlign w:val="center"/>
                </w:tcPr>
                <w:p>
                  <w:r>
                    <w:rPr>
                      <w:rFonts w:hint="eastAsia"/>
                    </w:rPr>
                    <w:t>危险源、风险和机遇的规定</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r>
                    <w:rPr>
                      <w:rFonts w:hint="eastAsia"/>
                    </w:rPr>
                    <w:t>实现组织职业健康安全目标的进展情况</w:t>
                  </w:r>
                </w:p>
              </w:tc>
              <w:tc>
                <w:tcPr>
                  <w:tcW w:w="1984" w:type="dxa"/>
                  <w:vAlign w:val="center"/>
                </w:tcPr>
                <w:p>
                  <w:r>
                    <w:rPr>
                      <w:rFonts w:hint="eastAsia"/>
                    </w:rPr>
                    <w:t>统计分析</w:t>
                  </w:r>
                </w:p>
              </w:tc>
              <w:tc>
                <w:tcPr>
                  <w:tcW w:w="1984" w:type="dxa"/>
                </w:tcPr>
                <w:p>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702" w:type="dxa"/>
                  <w:vAlign w:val="center"/>
                </w:tcPr>
                <w:p>
                  <w:r>
                    <w:rPr>
                      <w:rFonts w:hint="eastAsia"/>
                    </w:rPr>
                    <w:t>公司OHS目标</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r>
                    <w:rPr>
                      <w:rFonts w:hint="eastAsia"/>
                    </w:rPr>
                    <w:t>运行控制和其他控制的有效性</w:t>
                  </w:r>
                </w:p>
              </w:tc>
              <w:tc>
                <w:tcPr>
                  <w:tcW w:w="1984" w:type="dxa"/>
                  <w:vAlign w:val="center"/>
                </w:tcPr>
                <w:p>
                  <w:r>
                    <w:rPr>
                      <w:rFonts w:hint="eastAsia"/>
                    </w:rPr>
                    <w:t>现场巡视</w:t>
                  </w:r>
                </w:p>
                <w:p>
                  <w:r>
                    <w:rPr>
                      <w:rFonts w:hint="eastAsia"/>
                    </w:rPr>
                    <w:t>抽查记录</w:t>
                  </w:r>
                </w:p>
              </w:tc>
              <w:tc>
                <w:tcPr>
                  <w:tcW w:w="1984" w:type="dxa"/>
                </w:tcPr>
                <w:p>
                  <w:r>
                    <w:rPr>
                      <w:rFonts w:ascii="Segoe UI Emoji" w:hAnsi="Segoe UI Emoji" w:cs="Segoe UI Emoji"/>
                      <w:szCs w:val="21"/>
                    </w:rPr>
                    <w:t>☑</w:t>
                  </w:r>
                  <w:r>
                    <w:rPr>
                      <w:rFonts w:hint="eastAsia"/>
                      <w:szCs w:val="21"/>
                    </w:rPr>
                    <w:t>每天 ☑</w:t>
                  </w:r>
                  <w:r>
                    <w:rPr>
                      <w:rFonts w:hint="eastAsia"/>
                    </w:rPr>
                    <w:t>每周</w:t>
                  </w:r>
                </w:p>
                <w:p>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702" w:type="dxa"/>
                  <w:vAlign w:val="center"/>
                </w:tcPr>
                <w:p>
                  <w:r>
                    <w:rPr>
                      <w:rFonts w:hint="eastAsia"/>
                    </w:rPr>
                    <w:t>运行程序</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r>
                    <w:rPr>
                      <w:rFonts w:hint="eastAsia"/>
                    </w:rPr>
                    <w:t>体系</w:t>
                  </w:r>
                </w:p>
              </w:tc>
              <w:tc>
                <w:tcPr>
                  <w:tcW w:w="1984" w:type="dxa"/>
                </w:tcPr>
                <w:p>
                  <w:r>
                    <w:rPr>
                      <w:rFonts w:hint="eastAsia"/>
                    </w:rPr>
                    <w:t>内部审核；对内审不符合项进行分析</w:t>
                  </w:r>
                </w:p>
              </w:tc>
              <w:tc>
                <w:tcPr>
                  <w:tcW w:w="1984" w:type="dxa"/>
                </w:tcPr>
                <w:p>
                  <w:r>
                    <w:rPr>
                      <w:rFonts w:hint="eastAsia"/>
                      <w:szCs w:val="21"/>
                    </w:rPr>
                    <w:t>☑</w:t>
                  </w:r>
                  <w:r>
                    <w:rPr>
                      <w:rFonts w:hint="eastAsia"/>
                    </w:rPr>
                    <w:t>按年度内审计划</w:t>
                  </w:r>
                </w:p>
                <w:p>
                  <w:r>
                    <w:rPr>
                      <w:rFonts w:hint="eastAsia"/>
                      <w:szCs w:val="21"/>
                    </w:rPr>
                    <w:t>□</w:t>
                  </w:r>
                  <w:r>
                    <w:rPr>
                      <w:rFonts w:hint="eastAsia"/>
                    </w:rPr>
                    <w:t>每年一次</w:t>
                  </w:r>
                </w:p>
                <w:p>
                  <w:r>
                    <w:rPr>
                      <w:rFonts w:hint="eastAsia"/>
                      <w:szCs w:val="21"/>
                    </w:rPr>
                    <w:t>□特殊情况增加</w:t>
                  </w:r>
                </w:p>
              </w:tc>
              <w:tc>
                <w:tcPr>
                  <w:tcW w:w="1702" w:type="dxa"/>
                  <w:vAlign w:val="center"/>
                </w:tcPr>
                <w:p>
                  <w:r>
                    <w:rPr>
                      <w:rFonts w:hint="eastAsia"/>
                    </w:rPr>
                    <w:t>内审程序和计划</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r>
                    <w:rPr>
                      <w:rFonts w:hint="eastAsia"/>
                    </w:rPr>
                    <w:t>体系有效性</w:t>
                  </w:r>
                </w:p>
              </w:tc>
              <w:tc>
                <w:tcPr>
                  <w:tcW w:w="1984" w:type="dxa"/>
                </w:tcPr>
                <w:p>
                  <w:r>
                    <w:rPr>
                      <w:rFonts w:hint="eastAsia"/>
                    </w:rPr>
                    <w:t>管理评审，对OHS存在的需要问题进行分析</w:t>
                  </w:r>
                </w:p>
              </w:tc>
              <w:tc>
                <w:tcPr>
                  <w:tcW w:w="1984" w:type="dxa"/>
                </w:tcPr>
                <w:p>
                  <w:r>
                    <w:rPr>
                      <w:rFonts w:hint="eastAsia"/>
                      <w:szCs w:val="21"/>
                    </w:rPr>
                    <w:t>☑</w:t>
                  </w:r>
                  <w:r>
                    <w:rPr>
                      <w:rFonts w:hint="eastAsia"/>
                    </w:rPr>
                    <w:t>每年一次</w:t>
                  </w:r>
                </w:p>
                <w:p>
                  <w:r>
                    <w:rPr>
                      <w:rFonts w:hint="eastAsia"/>
                      <w:szCs w:val="21"/>
                    </w:rPr>
                    <w:t>□特殊情况增加</w:t>
                  </w:r>
                </w:p>
              </w:tc>
              <w:tc>
                <w:tcPr>
                  <w:tcW w:w="1702" w:type="dxa"/>
                  <w:vAlign w:val="center"/>
                </w:tcPr>
                <w:p>
                  <w:r>
                    <w:rPr>
                      <w:rFonts w:hint="eastAsia"/>
                    </w:rPr>
                    <w:t>管理评审程序</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r>
                    <w:rPr>
                      <w:rFonts w:hint="eastAsia"/>
                    </w:rPr>
                    <w:t>相关方反馈</w:t>
                  </w:r>
                </w:p>
              </w:tc>
              <w:tc>
                <w:tcPr>
                  <w:tcW w:w="1984" w:type="dxa"/>
                </w:tcPr>
                <w:p>
                  <w:r>
                    <w:rPr>
                      <w:rFonts w:hint="eastAsia"/>
                    </w:rPr>
                    <w:t>反馈处理，对问题进行统计</w:t>
                  </w:r>
                </w:p>
              </w:tc>
              <w:tc>
                <w:tcPr>
                  <w:tcW w:w="1984" w:type="dxa"/>
                </w:tcPr>
                <w:p>
                  <w:r>
                    <w:rPr>
                      <w:rFonts w:hint="eastAsia"/>
                      <w:szCs w:val="21"/>
                    </w:rPr>
                    <w:t>☑</w:t>
                  </w:r>
                  <w:r>
                    <w:rPr>
                      <w:rFonts w:hint="eastAsia"/>
                    </w:rPr>
                    <w:t>每年一次</w:t>
                  </w:r>
                </w:p>
                <w:p>
                  <w:r>
                    <w:rPr>
                      <w:rFonts w:hint="eastAsia"/>
                      <w:szCs w:val="21"/>
                    </w:rPr>
                    <w:t>□随时</w:t>
                  </w:r>
                </w:p>
              </w:tc>
              <w:tc>
                <w:tcPr>
                  <w:tcW w:w="1702" w:type="dxa"/>
                  <w:vAlign w:val="center"/>
                </w:tcPr>
                <w:p>
                  <w:r>
                    <w:rPr>
                      <w:rFonts w:hint="eastAsia"/>
                    </w:rPr>
                    <w:t>相关法规</w:t>
                  </w:r>
                </w:p>
              </w:tc>
              <w:tc>
                <w:tcPr>
                  <w:tcW w:w="1842" w:type="dxa"/>
                </w:tcPr>
                <w:p>
                  <w:pPr>
                    <w:widowControl/>
                    <w:spacing w:before="40"/>
                    <w:jc w:val="left"/>
                  </w:pPr>
                  <w:r>
                    <w:rPr>
                      <w:rFonts w:hint="eastAsia"/>
                      <w:szCs w:val="21"/>
                    </w:rPr>
                    <w:t>□</w:t>
                  </w:r>
                  <w:r>
                    <w:rPr>
                      <w:rFonts w:hint="eastAsia"/>
                    </w:rPr>
                    <w:t>每月</w:t>
                  </w:r>
                  <w:r>
                    <w:rPr>
                      <w:rFonts w:hint="eastAsia"/>
                      <w:szCs w:val="21"/>
                    </w:rPr>
                    <w:t xml:space="preserve"> □</w:t>
                  </w:r>
                  <w:r>
                    <w:rPr>
                      <w:rFonts w:hint="eastAsia"/>
                    </w:rPr>
                    <w:t>每季度</w:t>
                  </w:r>
                </w:p>
                <w:p>
                  <w:pPr>
                    <w:widowControl/>
                    <w:spacing w:before="40"/>
                    <w:jc w:val="left"/>
                    <w:rPr>
                      <w:szCs w:val="21"/>
                    </w:rPr>
                  </w:pPr>
                  <w:r>
                    <w:rPr>
                      <w:rFonts w:hint="eastAsia"/>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O9.3</w:t>
            </w:r>
          </w:p>
        </w:tc>
        <w:tc>
          <w:tcPr>
            <w:tcW w:w="745"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 xml:space="preserve">《管理评审控制程序》 </w:t>
            </w:r>
            <w:r>
              <w:rPr>
                <w:rFonts w:hint="eastAsia"/>
              </w:rPr>
              <w:sym w:font="Wingdings" w:char="00FE"/>
            </w:r>
            <w:r>
              <w:rPr>
                <w:rFonts w:hint="eastAsia"/>
              </w:rPr>
              <w:t>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8</w:t>
            </w:r>
            <w:r>
              <w:rPr>
                <w:rFonts w:hint="eastAsia"/>
                <w:color w:val="000000"/>
                <w:szCs w:val="18"/>
              </w:rPr>
              <w:t>月</w:t>
            </w:r>
            <w:r>
              <w:rPr>
                <w:rFonts w:hint="eastAsia"/>
                <w:color w:val="000000"/>
                <w:szCs w:val="18"/>
                <w:u w:val="single"/>
              </w:rPr>
              <w:t xml:space="preserve"> </w:t>
            </w:r>
            <w:r>
              <w:rPr>
                <w:color w:val="000000"/>
                <w:szCs w:val="18"/>
                <w:u w:val="single"/>
              </w:rPr>
              <w:t>1</w:t>
            </w:r>
            <w:r>
              <w:rPr>
                <w:rFonts w:hint="eastAsia"/>
                <w:color w:val="000000"/>
                <w:szCs w:val="18"/>
                <w:u w:val="single"/>
              </w:rPr>
              <w:t>2</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9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center"/>
                    <w:rPr>
                      <w:szCs w:val="21"/>
                    </w:rPr>
                  </w:pPr>
                  <w:r>
                    <w:rPr>
                      <w:rFonts w:hint="eastAsia"/>
                      <w:szCs w:val="21"/>
                    </w:rPr>
                    <w:t>管理评审输入信息</w:t>
                  </w:r>
                </w:p>
              </w:tc>
              <w:tc>
                <w:tcPr>
                  <w:tcW w:w="1958" w:type="dxa"/>
                  <w:vAlign w:val="center"/>
                </w:tcPr>
                <w:p>
                  <w:pPr>
                    <w:widowControl/>
                    <w:spacing w:before="40"/>
                    <w:jc w:val="center"/>
                    <w:rPr>
                      <w:szCs w:val="21"/>
                    </w:rPr>
                  </w:pPr>
                  <w:r>
                    <w:rPr>
                      <w:rFonts w:hint="eastAsia"/>
                      <w:szCs w:val="21"/>
                    </w:rPr>
                    <w:t>评价</w:t>
                  </w:r>
                </w:p>
              </w:tc>
              <w:tc>
                <w:tcPr>
                  <w:tcW w:w="2835" w:type="dxa"/>
                  <w:vAlign w:val="center"/>
                </w:tcPr>
                <w:p>
                  <w:pPr>
                    <w:widowControl/>
                    <w:spacing w:before="40"/>
                    <w:jc w:val="center"/>
                    <w:rPr>
                      <w:szCs w:val="21"/>
                    </w:rPr>
                  </w:pPr>
                  <w:r>
                    <w:rPr>
                      <w:rFonts w:hint="eastAsia"/>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以往管理评审所采取措施的情况；</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加强人员培训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与职业健康安全管理体系相关的内外部议题的变化；</w:t>
                  </w:r>
                </w:p>
              </w:tc>
              <w:tc>
                <w:tcPr>
                  <w:tcW w:w="1958" w:type="dxa"/>
                  <w:vAlign w:val="center"/>
                </w:tcPr>
                <w:p>
                  <w:pPr>
                    <w:widowControl/>
                    <w:spacing w:before="40"/>
                    <w:rPr>
                      <w:szCs w:val="21"/>
                    </w:rPr>
                  </w:pPr>
                  <w:r>
                    <w:rPr>
                      <w:rFonts w:hint="eastAsia"/>
                      <w:szCs w:val="21"/>
                    </w:rPr>
                    <w:t>☑符合 □不符合</w:t>
                  </w:r>
                </w:p>
              </w:tc>
              <w:tc>
                <w:tcPr>
                  <w:tcW w:w="2835" w:type="dxa"/>
                  <w:vAlign w:val="center"/>
                </w:tcPr>
                <w:p>
                  <w:pPr>
                    <w:widowControl/>
                    <w:spacing w:before="40"/>
                    <w:rPr>
                      <w:szCs w:val="21"/>
                    </w:rPr>
                  </w:pPr>
                  <w:r>
                    <w:rPr>
                      <w:rFonts w:hint="eastAsia"/>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相关方的需求和期望的变化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法规、监管日益健全、严格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法律法规和其他要求的变化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风险和机遇的变化</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职业健康安全目标的实现程度</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事件、不符合、纠正措施和持续改进及趋势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监视和测量结果及趋势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2020年体检、日常监测达标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对法律法规要求和其他要求的合规性评价的结果的趋势</w:t>
                  </w:r>
                </w:p>
              </w:tc>
              <w:tc>
                <w:tcPr>
                  <w:tcW w:w="1958" w:type="dxa"/>
                  <w:vAlign w:val="center"/>
                </w:tcPr>
                <w:p>
                  <w:pPr>
                    <w:widowControl/>
                    <w:spacing w:before="40"/>
                    <w:rPr>
                      <w:szCs w:val="21"/>
                    </w:rPr>
                  </w:pPr>
                  <w:r>
                    <w:rPr>
                      <w:rFonts w:hint="eastAsia"/>
                      <w:szCs w:val="21"/>
                    </w:rPr>
                    <w:t>☑符合 □不符合</w:t>
                  </w:r>
                </w:p>
              </w:tc>
              <w:tc>
                <w:tcPr>
                  <w:tcW w:w="2835" w:type="dxa"/>
                </w:tcPr>
                <w:p>
                  <w:pPr>
                    <w:widowControl/>
                    <w:spacing w:before="40"/>
                    <w:jc w:val="left"/>
                    <w:rPr>
                      <w:szCs w:val="21"/>
                    </w:rPr>
                  </w:pPr>
                  <w:r>
                    <w:rPr>
                      <w:rFonts w:hint="eastAsia"/>
                      <w:szCs w:val="21"/>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内审、外部审核结果及趋势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工作人员的协商和参与及趋势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风险和机遇即趋势</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保持有效的职业健康安全管理体系所需资源</w:t>
                  </w:r>
                  <w:r>
                    <w:t>的</w:t>
                  </w:r>
                  <w:r>
                    <w:rPr>
                      <w:rFonts w:hint="eastAsia"/>
                    </w:rPr>
                    <w:t>充分性；</w:t>
                  </w:r>
                </w:p>
              </w:tc>
              <w:tc>
                <w:tcPr>
                  <w:tcW w:w="1958" w:type="dxa"/>
                  <w:vAlign w:val="center"/>
                </w:tcPr>
                <w:p>
                  <w:pPr>
                    <w:widowControl/>
                    <w:spacing w:before="40"/>
                    <w:rPr>
                      <w:szCs w:val="21"/>
                    </w:rPr>
                  </w:pPr>
                  <w:r>
                    <w:rPr>
                      <w:rFonts w:hint="eastAsia"/>
                      <w:szCs w:val="21"/>
                    </w:rPr>
                    <w:t>☑符合 □不符合</w:t>
                  </w:r>
                </w:p>
              </w:tc>
              <w:tc>
                <w:tcPr>
                  <w:tcW w:w="2835" w:type="dxa"/>
                  <w:vAlign w:val="center"/>
                </w:tcPr>
                <w:p>
                  <w:pPr>
                    <w:widowControl/>
                    <w:spacing w:before="40"/>
                    <w:rPr>
                      <w:szCs w:val="21"/>
                    </w:rPr>
                  </w:pPr>
                  <w:r>
                    <w:rPr>
                      <w:rFonts w:hint="eastAsia"/>
                      <w:szCs w:val="21"/>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rPr>
                      <w:szCs w:val="21"/>
                    </w:rPr>
                  </w:pPr>
                  <w:r>
                    <w:rPr>
                      <w:rFonts w:hint="eastAsia"/>
                    </w:rPr>
                    <w:t>与相关方的有关沟通</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pPr>
                  <w:r>
                    <w:rPr>
                      <w:rFonts w:hint="eastAsia"/>
                    </w:rPr>
                    <w:t>持续改进的机会</w:t>
                  </w:r>
                </w:p>
              </w:tc>
              <w:tc>
                <w:tcPr>
                  <w:tcW w:w="1958" w:type="dxa"/>
                </w:tcPr>
                <w:p>
                  <w:pPr>
                    <w:widowControl/>
                    <w:spacing w:before="40"/>
                    <w:jc w:val="left"/>
                    <w:rPr>
                      <w:szCs w:val="21"/>
                    </w:rPr>
                  </w:pPr>
                  <w:r>
                    <w:rPr>
                      <w:rFonts w:hint="eastAsia"/>
                      <w:szCs w:val="21"/>
                    </w:rPr>
                    <w:t>☑符合 □不符合</w:t>
                  </w:r>
                </w:p>
              </w:tc>
              <w:tc>
                <w:tcPr>
                  <w:tcW w:w="2835" w:type="dxa"/>
                </w:tcPr>
                <w:p>
                  <w:pPr>
                    <w:widowControl/>
                    <w:spacing w:before="40"/>
                    <w:jc w:val="left"/>
                    <w:rPr>
                      <w:szCs w:val="21"/>
                    </w:rPr>
                  </w:pPr>
                  <w:r>
                    <w:rPr>
                      <w:rFonts w:hint="eastAsia"/>
                      <w:szCs w:val="21"/>
                    </w:rPr>
                    <w:t>增加检验人员</w:t>
                  </w: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w:t>
            </w:r>
            <w:r>
              <w:rPr>
                <w:rFonts w:hint="eastAsia"/>
              </w:rPr>
              <w:t>职业健康安全</w:t>
            </w:r>
            <w:r>
              <w:rPr>
                <w:rFonts w:hint="eastAsia"/>
                <w:color w:val="000000"/>
                <w:szCs w:val="21"/>
              </w:rPr>
              <w:t>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vAlign w:val="center"/>
                </w:tcPr>
                <w:p>
                  <w:pPr>
                    <w:widowControl/>
                    <w:spacing w:before="40"/>
                    <w:jc w:val="center"/>
                    <w:rPr>
                      <w:szCs w:val="21"/>
                    </w:rPr>
                  </w:pPr>
                  <w:r>
                    <w:rPr>
                      <w:rFonts w:hint="eastAsia"/>
                      <w:szCs w:val="18"/>
                    </w:rPr>
                    <w:t>管理评审输出信息（决策）</w:t>
                  </w:r>
                </w:p>
              </w:tc>
              <w:tc>
                <w:tcPr>
                  <w:tcW w:w="2835" w:type="dxa"/>
                  <w:vAlign w:val="center"/>
                </w:tcPr>
                <w:p>
                  <w:pPr>
                    <w:widowControl/>
                    <w:spacing w:before="40"/>
                    <w:jc w:val="center"/>
                    <w:rPr>
                      <w:szCs w:val="21"/>
                    </w:rPr>
                  </w:pPr>
                  <w:r>
                    <w:rPr>
                      <w:rFonts w:hint="eastAsia"/>
                      <w:szCs w:val="21"/>
                    </w:rPr>
                    <w:t>措施描述（举例）</w:t>
                  </w:r>
                </w:p>
              </w:tc>
              <w:tc>
                <w:tcPr>
                  <w:tcW w:w="2552" w:type="dxa"/>
                  <w:vAlign w:val="center"/>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vAlign w:val="center"/>
                </w:tcPr>
                <w:p>
                  <w:pPr>
                    <w:widowControl/>
                    <w:spacing w:before="40"/>
                    <w:rPr>
                      <w:szCs w:val="21"/>
                    </w:rPr>
                  </w:pPr>
                  <w:r>
                    <w:rPr>
                      <w:rFonts w:hint="eastAsia"/>
                    </w:rPr>
                    <w:t>与持续改进机会相关的决策</w:t>
                  </w:r>
                </w:p>
              </w:tc>
              <w:tc>
                <w:tcPr>
                  <w:tcW w:w="2835" w:type="dxa"/>
                  <w:vAlign w:val="center"/>
                </w:tcPr>
                <w:p>
                  <w:pPr>
                    <w:widowControl/>
                    <w:spacing w:before="40"/>
                    <w:rPr>
                      <w:szCs w:val="21"/>
                    </w:rPr>
                  </w:pPr>
                  <w:r>
                    <w:rPr>
                      <w:rFonts w:hint="eastAsia"/>
                      <w:szCs w:val="21"/>
                    </w:rPr>
                    <w:t>加强员工培训，提升员工安全生产意识</w:t>
                  </w:r>
                </w:p>
              </w:tc>
              <w:tc>
                <w:tcPr>
                  <w:tcW w:w="2552" w:type="dxa"/>
                  <w:vAlign w:val="center"/>
                </w:tcPr>
                <w:p>
                  <w:pPr>
                    <w:widowControl/>
                    <w:spacing w:before="40"/>
                    <w:rPr>
                      <w:szCs w:val="21"/>
                    </w:rPr>
                  </w:pPr>
                  <w:r>
                    <w:rPr>
                      <w:rFonts w:ascii="Segoe UI Emoji" w:hAnsi="Segoe UI Emoji" w:cs="Segoe UI Emoji"/>
                      <w:szCs w:val="21"/>
                    </w:rPr>
                    <w:t>☑</w:t>
                  </w:r>
                  <w:r>
                    <w:rPr>
                      <w:rFonts w:hint="eastAsia"/>
                    </w:rPr>
                    <w:t xml:space="preserve">已落实 </w:t>
                  </w:r>
                  <w:r>
                    <w:rPr>
                      <w:rFonts w:hint="eastAsia"/>
                      <w:szCs w:val="21"/>
                    </w:rPr>
                    <w:t>□</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rPr>
                    <w:t>职业健康安全管理体系所需的变更</w:t>
                  </w:r>
                </w:p>
              </w:tc>
              <w:tc>
                <w:tcPr>
                  <w:tcW w:w="2835" w:type="dxa"/>
                </w:tcPr>
                <w:p>
                  <w:pPr>
                    <w:widowControl/>
                    <w:spacing w:before="40"/>
                    <w:jc w:val="left"/>
                    <w:rPr>
                      <w:szCs w:val="21"/>
                    </w:rPr>
                  </w:pPr>
                  <w:r>
                    <w:rPr>
                      <w:rFonts w:hint="eastAsia"/>
                      <w:szCs w:val="21"/>
                    </w:rPr>
                    <w:t>完善应急预案</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rPr>
                    <w:t>所需资源</w:t>
                  </w:r>
                </w:p>
              </w:tc>
              <w:tc>
                <w:tcPr>
                  <w:tcW w:w="2835" w:type="dxa"/>
                </w:tcPr>
                <w:p>
                  <w:pPr>
                    <w:widowControl/>
                    <w:spacing w:before="40"/>
                    <w:jc w:val="left"/>
                    <w:rPr>
                      <w:szCs w:val="21"/>
                    </w:rPr>
                  </w:pPr>
                  <w:r>
                    <w:rPr>
                      <w:rFonts w:hint="eastAsia"/>
                      <w:szCs w:val="21"/>
                    </w:rPr>
                    <w:t>资金</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目标未实现所采取的措施。（需要时）</w:t>
                  </w:r>
                </w:p>
              </w:tc>
              <w:tc>
                <w:tcPr>
                  <w:tcW w:w="2835" w:type="dxa"/>
                </w:tcPr>
                <w:p>
                  <w:pPr>
                    <w:widowControl/>
                    <w:spacing w:before="40"/>
                    <w:jc w:val="left"/>
                    <w:rPr>
                      <w:szCs w:val="21"/>
                    </w:rPr>
                  </w:pPr>
                  <w:r>
                    <w:rPr>
                      <w:rFonts w:hint="eastAsia"/>
                      <w:szCs w:val="21"/>
                    </w:rPr>
                    <w:t>----</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改进</w:t>
                  </w:r>
                  <w:r>
                    <w:rPr>
                      <w:rFonts w:hint="eastAsia"/>
                    </w:rPr>
                    <w:t>职业健康安全</w:t>
                  </w:r>
                  <w:r>
                    <w:rPr>
                      <w:rFonts w:hint="eastAsia"/>
                      <w:szCs w:val="21"/>
                    </w:rPr>
                    <w:t>管理体系与其他业务过程融合的机会。（需要时）</w:t>
                  </w:r>
                </w:p>
              </w:tc>
              <w:tc>
                <w:tcPr>
                  <w:tcW w:w="2835" w:type="dxa"/>
                </w:tcPr>
                <w:p>
                  <w:pPr>
                    <w:widowControl/>
                    <w:spacing w:before="40"/>
                    <w:jc w:val="left"/>
                    <w:rPr>
                      <w:szCs w:val="21"/>
                    </w:rPr>
                  </w:pPr>
                  <w:r>
                    <w:rPr>
                      <w:rFonts w:hint="eastAsia"/>
                      <w:szCs w:val="21"/>
                    </w:rPr>
                    <w:t>GB/T45001换版过程中加强一体化审核</w:t>
                  </w:r>
                </w:p>
              </w:tc>
              <w:tc>
                <w:tcPr>
                  <w:tcW w:w="2552" w:type="dxa"/>
                  <w:vAlign w:val="center"/>
                </w:tcPr>
                <w:p>
                  <w:pPr>
                    <w:widowControl/>
                    <w:spacing w:before="40"/>
                    <w:rPr>
                      <w:szCs w:val="21"/>
                    </w:rPr>
                  </w:pPr>
                  <w:r>
                    <w:rPr>
                      <w:rFonts w:hint="eastAsia"/>
                      <w:szCs w:val="21"/>
                    </w:rPr>
                    <w:t>☑</w:t>
                  </w:r>
                  <w:r>
                    <w:rPr>
                      <w:rFonts w:hint="eastAsia"/>
                    </w:rPr>
                    <w:t>已落实</w:t>
                  </w:r>
                  <w:r>
                    <w:rPr>
                      <w:rFonts w:hint="eastAsia"/>
                      <w:szCs w:val="21"/>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0" w:type="dxa"/>
                </w:tcPr>
                <w:p>
                  <w:pPr>
                    <w:widowControl/>
                    <w:spacing w:before="40"/>
                    <w:jc w:val="left"/>
                    <w:rPr>
                      <w:szCs w:val="21"/>
                    </w:rPr>
                  </w:pPr>
                  <w:r>
                    <w:rPr>
                      <w:rFonts w:hint="eastAsia"/>
                      <w:szCs w:val="21"/>
                    </w:rPr>
                    <w:t>任何与组织战略方向相关的结论</w:t>
                  </w:r>
                </w:p>
              </w:tc>
              <w:tc>
                <w:tcPr>
                  <w:tcW w:w="2835" w:type="dxa"/>
                </w:tcPr>
                <w:p>
                  <w:pPr>
                    <w:widowControl/>
                    <w:spacing w:before="40"/>
                    <w:jc w:val="left"/>
                    <w:rPr>
                      <w:szCs w:val="21"/>
                    </w:rPr>
                  </w:pPr>
                  <w:r>
                    <w:rPr>
                      <w:rFonts w:hint="eastAsia"/>
                      <w:szCs w:val="21"/>
                    </w:rPr>
                    <w:t>职业健康安全管理有效</w:t>
                  </w:r>
                </w:p>
              </w:tc>
              <w:tc>
                <w:tcPr>
                  <w:tcW w:w="2552"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组织确定了改进机会，并采取必要措施，以实现其职业健康安全管理体系的预期结果。。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改进职业健康安全管理体系的绩效和有效性。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tc>
        <w:tc>
          <w:tcPr>
            <w:tcW w:w="960" w:type="dxa"/>
            <w:vMerge w:val="restart"/>
          </w:tcPr>
          <w:p>
            <w:r>
              <w:rPr>
                <w:rFonts w:hint="eastAsia"/>
              </w:rPr>
              <w:t>O10.3</w:t>
            </w:r>
          </w:p>
        </w:tc>
        <w:tc>
          <w:tcPr>
            <w:tcW w:w="745" w:type="dxa"/>
          </w:tcPr>
          <w:p>
            <w:r>
              <w:rPr>
                <w:rFonts w:hint="eastAsia"/>
              </w:rPr>
              <w:t>文件名称</w:t>
            </w:r>
          </w:p>
        </w:tc>
        <w:tc>
          <w:tcPr>
            <w:tcW w:w="9259" w:type="dxa"/>
            <w:vAlign w:val="center"/>
          </w:tcPr>
          <w:p>
            <w:r>
              <w:rPr>
                <w:rFonts w:hint="eastAsia"/>
              </w:rPr>
              <w:t>如：《</w:t>
            </w:r>
            <w:r>
              <w:rPr>
                <w:rFonts w:hint="eastAsia" w:ascii="Arial" w:hAnsi="Arial"/>
              </w:rPr>
              <w:t>事件调查和</w:t>
            </w:r>
            <w:r>
              <w:rPr>
                <w:rFonts w:hint="eastAsia"/>
              </w:rPr>
              <w:t>不符合控制程序》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center"/>
                  </w:pPr>
                  <w:r>
                    <w:rPr>
                      <w:rFonts w:hint="eastAsia"/>
                    </w:rPr>
                    <w:t>改进方式</w:t>
                  </w:r>
                </w:p>
              </w:tc>
              <w:tc>
                <w:tcPr>
                  <w:tcW w:w="3305" w:type="dxa"/>
                  <w:vAlign w:val="center"/>
                </w:tcPr>
                <w:p>
                  <w:pPr>
                    <w:jc w:val="center"/>
                  </w:pPr>
                  <w:r>
                    <w:rPr>
                      <w:rFonts w:hint="eastAsia"/>
                    </w:rPr>
                    <w:t>改进活动</w:t>
                  </w:r>
                </w:p>
              </w:tc>
              <w:tc>
                <w:tcPr>
                  <w:tcW w:w="1947" w:type="dxa"/>
                  <w:vAlign w:val="center"/>
                </w:tcPr>
                <w:p>
                  <w:pPr>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r>
                    <w:rPr>
                      <w:rFonts w:hint="eastAsia"/>
                    </w:rPr>
                    <w:t>提升职业健康安全绩效</w:t>
                  </w:r>
                </w:p>
              </w:tc>
              <w:tc>
                <w:tcPr>
                  <w:tcW w:w="3305" w:type="dxa"/>
                </w:tcPr>
                <w:p>
                  <w:r>
                    <w:rPr>
                      <w:rFonts w:hint="eastAsia"/>
                    </w:rPr>
                    <w:sym w:font="Wingdings" w:char="00FE"/>
                  </w:r>
                  <w:r>
                    <w:rPr>
                      <w:rFonts w:hint="eastAsia"/>
                    </w:rPr>
                    <w:t xml:space="preserve"> 见管理评审改进措施</w:t>
                  </w:r>
                </w:p>
              </w:tc>
              <w:tc>
                <w:tcPr>
                  <w:tcW w:w="1947"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r>
                    <w:rPr>
                      <w:rFonts w:hint="eastAsia"/>
                    </w:rPr>
                    <w:t>促进支持职业健康安全管理体系的文化</w:t>
                  </w:r>
                </w:p>
              </w:tc>
              <w:tc>
                <w:tcPr>
                  <w:tcW w:w="3305" w:type="dxa"/>
                </w:tcPr>
                <w:p>
                  <w:r>
                    <w:rPr>
                      <w:rFonts w:hint="eastAsia"/>
                    </w:rPr>
                    <w:sym w:font="Wingdings" w:char="00FE"/>
                  </w:r>
                  <w:r>
                    <w:rPr>
                      <w:rFonts w:hint="eastAsia"/>
                    </w:rPr>
                    <w:t xml:space="preserve"> 见OHS意识的培养</w:t>
                  </w:r>
                </w:p>
              </w:tc>
              <w:tc>
                <w:tcPr>
                  <w:tcW w:w="1947"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r>
                    <w:rPr>
                      <w:rFonts w:hint="eastAsia"/>
                    </w:rPr>
                    <w:t>促进工作人员参与职业健康安全管理体系持续改进措施的实施</w:t>
                  </w:r>
                </w:p>
              </w:tc>
              <w:tc>
                <w:tcPr>
                  <w:tcW w:w="3305" w:type="dxa"/>
                </w:tcPr>
                <w:p>
                  <w:r>
                    <w:rPr>
                      <w:rFonts w:hint="eastAsia"/>
                    </w:rPr>
                    <w:sym w:font="Wingdings" w:char="00FE"/>
                  </w:r>
                  <w:r>
                    <w:rPr>
                      <w:rFonts w:hint="eastAsia"/>
                    </w:rPr>
                    <w:t xml:space="preserve"> 见协商和参与</w:t>
                  </w:r>
                </w:p>
                <w:p>
                  <w:r>
                    <w:rPr>
                      <w:rFonts w:hint="eastAsia"/>
                    </w:rPr>
                    <w:sym w:font="Wingdings" w:char="00FE"/>
                  </w:r>
                  <w:r>
                    <w:rPr>
                      <w:rFonts w:hint="eastAsia"/>
                    </w:rPr>
                    <w:t xml:space="preserve"> 见管理评审改进措施</w:t>
                  </w:r>
                </w:p>
                <w:p>
                  <w:r>
                    <w:rPr>
                      <w:rFonts w:hint="eastAsia"/>
                    </w:rPr>
                    <w:sym w:font="Wingdings" w:char="00FE"/>
                  </w:r>
                  <w:r>
                    <w:rPr>
                      <w:rFonts w:hint="eastAsia"/>
                    </w:rPr>
                    <w:t xml:space="preserve"> 见事件、不符合和纠正措施</w:t>
                  </w:r>
                </w:p>
              </w:tc>
              <w:tc>
                <w:tcPr>
                  <w:tcW w:w="1947"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r>
                    <w:rPr>
                      <w:rFonts w:hint="eastAsia"/>
                    </w:rPr>
                    <w:t>就有关持续改进的结果与工作人员及其代表（若有）进行沟通</w:t>
                  </w:r>
                </w:p>
              </w:tc>
              <w:tc>
                <w:tcPr>
                  <w:tcW w:w="3305" w:type="dxa"/>
                </w:tcPr>
                <w:p>
                  <w:r>
                    <w:rPr>
                      <w:rFonts w:hint="eastAsia"/>
                    </w:rPr>
                    <w:sym w:font="Wingdings" w:char="00FE"/>
                  </w:r>
                  <w:r>
                    <w:rPr>
                      <w:rFonts w:hint="eastAsia"/>
                    </w:rPr>
                    <w:t xml:space="preserve"> 见协商和参与</w:t>
                  </w:r>
                </w:p>
                <w:p>
                  <w:r>
                    <w:rPr>
                      <w:rFonts w:hint="eastAsia"/>
                    </w:rPr>
                    <w:sym w:font="Wingdings" w:char="00FE"/>
                  </w:r>
                  <w:r>
                    <w:rPr>
                      <w:rFonts w:hint="eastAsia"/>
                    </w:rPr>
                    <w:t xml:space="preserve"> 见管理评审改进措施</w:t>
                  </w:r>
                </w:p>
                <w:p>
                  <w:r>
                    <w:rPr>
                      <w:rFonts w:hint="eastAsia"/>
                    </w:rPr>
                    <w:sym w:font="Wingdings" w:char="00FE"/>
                  </w:r>
                  <w:r>
                    <w:rPr>
                      <w:rFonts w:hint="eastAsia"/>
                    </w:rPr>
                    <w:t xml:space="preserve"> 见事件、不符合和纠正措施</w:t>
                  </w:r>
                </w:p>
              </w:tc>
              <w:tc>
                <w:tcPr>
                  <w:tcW w:w="1947" w:type="dxa"/>
                  <w:vAlign w:val="center"/>
                </w:tcPr>
                <w:p>
                  <w:r>
                    <w:rPr>
                      <w:rFonts w:hint="eastAsia"/>
                    </w:rPr>
                    <w:sym w:font="Wingdings" w:char="00FE"/>
                  </w:r>
                  <w:r>
                    <w:rPr>
                      <w:rFonts w:hint="eastAsia"/>
                    </w:rPr>
                    <w:t xml:space="preserve">符合  </w:t>
                  </w:r>
                  <w:r>
                    <w:rPr>
                      <w:rFonts w:hint="eastAsia"/>
                    </w:rPr>
                    <w:sym w:font="Wingdings" w:char="00FE"/>
                  </w:r>
                  <w:r>
                    <w:rPr>
                      <w:rFonts w:hint="eastAsia"/>
                    </w:rPr>
                    <w:t xml:space="preserve">不符合 </w:t>
                  </w:r>
                </w:p>
              </w:tc>
            </w:tr>
          </w:tbl>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EE3"/>
    <w:rsid w:val="000237F6"/>
    <w:rsid w:val="0003373A"/>
    <w:rsid w:val="000400E2"/>
    <w:rsid w:val="0004433B"/>
    <w:rsid w:val="00062E46"/>
    <w:rsid w:val="000E6B21"/>
    <w:rsid w:val="00100241"/>
    <w:rsid w:val="00157C3E"/>
    <w:rsid w:val="001639CF"/>
    <w:rsid w:val="001834A6"/>
    <w:rsid w:val="0018386E"/>
    <w:rsid w:val="00183D5C"/>
    <w:rsid w:val="001A2D7F"/>
    <w:rsid w:val="001E570B"/>
    <w:rsid w:val="002939AD"/>
    <w:rsid w:val="00295C89"/>
    <w:rsid w:val="00314AF6"/>
    <w:rsid w:val="00337922"/>
    <w:rsid w:val="00340867"/>
    <w:rsid w:val="0034549D"/>
    <w:rsid w:val="00380837"/>
    <w:rsid w:val="003A198A"/>
    <w:rsid w:val="00410914"/>
    <w:rsid w:val="004177C7"/>
    <w:rsid w:val="004327AE"/>
    <w:rsid w:val="00443BC8"/>
    <w:rsid w:val="0044676F"/>
    <w:rsid w:val="0048201E"/>
    <w:rsid w:val="004835B0"/>
    <w:rsid w:val="00493AB6"/>
    <w:rsid w:val="004A4FC4"/>
    <w:rsid w:val="004E70D7"/>
    <w:rsid w:val="00504989"/>
    <w:rsid w:val="00522B68"/>
    <w:rsid w:val="005274C1"/>
    <w:rsid w:val="00536930"/>
    <w:rsid w:val="00564E53"/>
    <w:rsid w:val="00580D03"/>
    <w:rsid w:val="00595C09"/>
    <w:rsid w:val="005D5659"/>
    <w:rsid w:val="00600C20"/>
    <w:rsid w:val="006256B5"/>
    <w:rsid w:val="00644FE2"/>
    <w:rsid w:val="00657243"/>
    <w:rsid w:val="006632BA"/>
    <w:rsid w:val="0067640C"/>
    <w:rsid w:val="00680CD5"/>
    <w:rsid w:val="006E678B"/>
    <w:rsid w:val="006E7B1D"/>
    <w:rsid w:val="00733351"/>
    <w:rsid w:val="007757F3"/>
    <w:rsid w:val="007C1B48"/>
    <w:rsid w:val="007C3309"/>
    <w:rsid w:val="007C7CA1"/>
    <w:rsid w:val="007E3B15"/>
    <w:rsid w:val="007E6AEB"/>
    <w:rsid w:val="007F6461"/>
    <w:rsid w:val="00802B70"/>
    <w:rsid w:val="0081159D"/>
    <w:rsid w:val="008179BA"/>
    <w:rsid w:val="00833E9B"/>
    <w:rsid w:val="0086684B"/>
    <w:rsid w:val="008973EE"/>
    <w:rsid w:val="008A0D1D"/>
    <w:rsid w:val="00971600"/>
    <w:rsid w:val="0099108B"/>
    <w:rsid w:val="00991DDD"/>
    <w:rsid w:val="009973B4"/>
    <w:rsid w:val="009C104A"/>
    <w:rsid w:val="009C28C1"/>
    <w:rsid w:val="009C31AC"/>
    <w:rsid w:val="009E6004"/>
    <w:rsid w:val="009F7A7B"/>
    <w:rsid w:val="009F7EED"/>
    <w:rsid w:val="00A153E8"/>
    <w:rsid w:val="00A80636"/>
    <w:rsid w:val="00AA77F3"/>
    <w:rsid w:val="00AA7C4E"/>
    <w:rsid w:val="00AF0AAB"/>
    <w:rsid w:val="00B24FDD"/>
    <w:rsid w:val="00B5457F"/>
    <w:rsid w:val="00B660B6"/>
    <w:rsid w:val="00B71525"/>
    <w:rsid w:val="00BF597E"/>
    <w:rsid w:val="00C06F17"/>
    <w:rsid w:val="00C235B0"/>
    <w:rsid w:val="00C4129E"/>
    <w:rsid w:val="00C51A36"/>
    <w:rsid w:val="00C55228"/>
    <w:rsid w:val="00C63768"/>
    <w:rsid w:val="00C7641C"/>
    <w:rsid w:val="00CA6F54"/>
    <w:rsid w:val="00CE315A"/>
    <w:rsid w:val="00CF6AD7"/>
    <w:rsid w:val="00D06F59"/>
    <w:rsid w:val="00D21B5D"/>
    <w:rsid w:val="00D54216"/>
    <w:rsid w:val="00D8388C"/>
    <w:rsid w:val="00D95CB9"/>
    <w:rsid w:val="00DC3500"/>
    <w:rsid w:val="00DD6665"/>
    <w:rsid w:val="00DE3547"/>
    <w:rsid w:val="00E448FC"/>
    <w:rsid w:val="00E6224C"/>
    <w:rsid w:val="00EB0164"/>
    <w:rsid w:val="00EB27B9"/>
    <w:rsid w:val="00EB30C4"/>
    <w:rsid w:val="00ED0F62"/>
    <w:rsid w:val="00F01EBC"/>
    <w:rsid w:val="00F247C4"/>
    <w:rsid w:val="00FB08B9"/>
    <w:rsid w:val="00FE10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473274"/>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2E21A3"/>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ECB391C"/>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5307FA"/>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Pr>
      <w:outlineLvl w:val="4"/>
    </w:pPr>
  </w:style>
  <w:style w:type="paragraph" w:customStyle="1" w:styleId="17">
    <w:name w:val="二级条标题"/>
    <w:basedOn w:val="18"/>
    <w:next w:val="15"/>
    <w:qFormat/>
    <w:uiPriority w:val="0"/>
    <w:pPr>
      <w:numPr>
        <w:ilvl w:val="3"/>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1671</Words>
  <Characters>9530</Characters>
  <Lines>79</Lines>
  <Paragraphs>22</Paragraphs>
  <TotalTime>449</TotalTime>
  <ScaleCrop>false</ScaleCrop>
  <LinksUpToDate>false</LinksUpToDate>
  <CharactersWithSpaces>11179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2020-08-21T07:54:31Z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