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受审核部门：仓库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/>
                <w:sz w:val="24"/>
                <w:lang w:val="en-US" w:eastAsia="zh-CN"/>
              </w:rPr>
              <w:t>宣跃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陪同人员：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朱春燕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</w:rPr>
              <w:t>审核员：</w:t>
            </w:r>
            <w:r>
              <w:rPr>
                <w:rFonts w:hint="eastAsia"/>
                <w:sz w:val="24"/>
                <w:lang w:val="en-US" w:eastAsia="zh-CN"/>
              </w:rPr>
              <w:t>岳树亮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审核时间：20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年8月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审核条款：6.1.2/6.2/ 8.1/8.2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如：管理手册、《危险源辨识、风险评价和控制措施的确定程序》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4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4"/>
                    </w:rPr>
                    <w:t>安全用电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定期对电线线路等设施进行检查</w:t>
                  </w:r>
                </w:p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加强人员安全用电的相关培训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4"/>
                    </w:rPr>
                    <w:t>火灾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操作现场禁止吸烟，安全用电</w:t>
                  </w:r>
                </w:p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配备必要的消防安全设施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进行必要的应急救援演练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仓库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O6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如：管理手册、《环境安全各部门目标分解和考核表》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63"/>
              <w:gridCol w:w="1131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3" w:type="dxa"/>
                  <w:shd w:val="clear" w:color="auto" w:fill="auto"/>
                </w:tcPr>
                <w:p>
                  <w:r>
                    <w:rPr>
                      <w:rFonts w:hint="eastAsia" w:ascii="楷体_GB2312" w:hAnsi="宋体" w:eastAsia="楷体_GB2312"/>
                      <w:szCs w:val="21"/>
                    </w:rPr>
                    <w:t>伤亡事故为零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3" w:type="dxa"/>
                  <w:shd w:val="clear" w:color="auto" w:fill="auto"/>
                </w:tcPr>
                <w:p>
                  <w:r>
                    <w:rPr>
                      <w:rFonts w:hint="eastAsia" w:ascii="楷体_GB2312" w:hAnsi="宋体" w:eastAsia="楷体_GB2312"/>
                      <w:szCs w:val="21"/>
                    </w:rPr>
                    <w:t>全年未发生传染病、食物中毒等重大事故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3" w:type="dxa"/>
                  <w:shd w:val="clear" w:color="auto" w:fill="auto"/>
                </w:tcPr>
                <w:p>
                  <w:pPr>
                    <w:rPr>
                      <w:rFonts w:ascii="Arial" w:hAnsi="Arial"/>
                      <w:sz w:val="24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控制潜在的火灾和爆炸事故为0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3" w:type="dxa"/>
                  <w:shd w:val="clear" w:color="auto" w:fill="auto"/>
                </w:tcPr>
                <w:p>
                  <w:pPr>
                    <w:rPr>
                      <w:rFonts w:ascii="Arial" w:hAnsi="Arial"/>
                      <w:sz w:val="24"/>
                      <w:szCs w:val="28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 xml:space="preserve">安全隐患整改率100% 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完成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如：管理手册、《</w:t>
            </w:r>
            <w:r>
              <w:rPr>
                <w:rFonts w:hint="eastAsia" w:ascii="宋体" w:hAnsi="宋体"/>
                <w:szCs w:val="21"/>
              </w:rPr>
              <w:t>生产过程组织控制程序</w:t>
            </w:r>
            <w:r>
              <w:rPr>
                <w:rFonts w:hint="eastAsia"/>
              </w:rPr>
              <w:t>》、《</w:t>
            </w:r>
            <w:r>
              <w:rPr>
                <w:rFonts w:hint="eastAsia" w:ascii="宋体" w:hAnsi="宋体"/>
                <w:szCs w:val="21"/>
              </w:rPr>
              <w:t>过敏源控制程序</w:t>
            </w:r>
            <w:r>
              <w:rPr>
                <w:rFonts w:hint="eastAsia"/>
              </w:rPr>
              <w:t>》、《工艺流程》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仓库未按要求摆放灭火器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b/>
                <w:bCs/>
              </w:rPr>
              <w:t>（消毒液）</w:t>
            </w:r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保存期限（部分）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其他：无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  <w:p/>
          <w:p>
            <w:r>
              <w:rPr>
                <w:rFonts w:hint="eastAsia"/>
              </w:rPr>
              <w:t>对剧毒品的管理：（适用时）无，不涉及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疫情防控措施：</w:t>
            </w:r>
          </w:p>
          <w:p>
            <w:pPr>
              <w:pStyle w:val="2"/>
            </w:pPr>
            <w:r>
              <w:rPr>
                <w:rFonts w:hint="eastAsia"/>
              </w:rPr>
              <w:t>准备防疫物资：7</w:t>
            </w:r>
            <w:r>
              <w:t>5</w:t>
            </w:r>
            <w:r>
              <w:rPr>
                <w:rFonts w:hint="eastAsia"/>
              </w:rPr>
              <w:t>%乙醇喷雾、消毒液、一次性医用口罩、一次性手套等</w:t>
            </w:r>
          </w:p>
          <w:p>
            <w:pPr>
              <w:pStyle w:val="2"/>
            </w:pPr>
            <w:r>
              <w:rPr>
                <w:rFonts w:hint="eastAsia"/>
              </w:rPr>
              <w:t>防疫措施：外包装消毒、减少人员聚集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化学品现场管理：抽查化学品名称：</w:t>
            </w:r>
            <w:r>
              <w:rPr>
                <w:rFonts w:hint="eastAsia"/>
                <w:u w:val="single"/>
              </w:rPr>
              <w:t xml:space="preserve">    84消毒液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>≤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防渗漏报警措施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有保温措施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 xml:space="preserve">生产现场是否备有消防设施 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2"/>
            </w:pPr>
            <w:r>
              <w:rPr>
                <w:rFonts w:hint="eastAsia"/>
              </w:rPr>
              <w:t>消防设施种类：消防自动喷淋系统，现场附近有市政供水</w:t>
            </w:r>
          </w:p>
          <w:p>
            <w:pPr>
              <w:pStyle w:val="2"/>
            </w:pPr>
            <w:r>
              <w:rPr>
                <w:rFonts w:hint="eastAsia"/>
              </w:rPr>
              <w:t>能否满足初期火灾扑救需要：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有无不符合项目：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仓库未摆放灭火器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ascii="Arial" w:hAnsi="Arial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/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88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2"/>
              <w:gridCol w:w="2126"/>
              <w:gridCol w:w="2554"/>
              <w:gridCol w:w="26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2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55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69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2020.07.22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F0A8"/>
                  </w:r>
                  <w:r>
                    <w:rPr>
                      <w:rFonts w:hint="eastAsia"/>
                      <w:szCs w:val="21"/>
                    </w:rPr>
                    <w:t>实际发生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sym w:font="Wingdings" w:char="F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554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触电事故应急预案</w:t>
                  </w:r>
                </w:p>
              </w:tc>
              <w:tc>
                <w:tcPr>
                  <w:tcW w:w="269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2020.07.26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F0A8"/>
                  </w:r>
                  <w:r>
                    <w:rPr>
                      <w:rFonts w:hint="eastAsia"/>
                      <w:szCs w:val="21"/>
                    </w:rPr>
                    <w:t>实际发生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sym w:font="Wingdings" w:char="F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554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火灾应急预案</w:t>
                  </w:r>
                </w:p>
              </w:tc>
              <w:tc>
                <w:tcPr>
                  <w:tcW w:w="269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5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95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724CC"/>
    <w:rsid w:val="00183D5C"/>
    <w:rsid w:val="001A2D7F"/>
    <w:rsid w:val="001A717A"/>
    <w:rsid w:val="002369DD"/>
    <w:rsid w:val="002939AD"/>
    <w:rsid w:val="002C0CB3"/>
    <w:rsid w:val="00314AF6"/>
    <w:rsid w:val="00337922"/>
    <w:rsid w:val="00340867"/>
    <w:rsid w:val="00380837"/>
    <w:rsid w:val="003A198A"/>
    <w:rsid w:val="00410914"/>
    <w:rsid w:val="004177C7"/>
    <w:rsid w:val="004417CF"/>
    <w:rsid w:val="0048201E"/>
    <w:rsid w:val="00536930"/>
    <w:rsid w:val="00564E53"/>
    <w:rsid w:val="005D5659"/>
    <w:rsid w:val="00600C20"/>
    <w:rsid w:val="00610526"/>
    <w:rsid w:val="00644FE2"/>
    <w:rsid w:val="0067640C"/>
    <w:rsid w:val="0068442E"/>
    <w:rsid w:val="006E678B"/>
    <w:rsid w:val="006E7B1D"/>
    <w:rsid w:val="00754B71"/>
    <w:rsid w:val="007740AC"/>
    <w:rsid w:val="007757F3"/>
    <w:rsid w:val="007C1B48"/>
    <w:rsid w:val="007D1F8B"/>
    <w:rsid w:val="007E3B15"/>
    <w:rsid w:val="007E6AEB"/>
    <w:rsid w:val="00825E26"/>
    <w:rsid w:val="008973EE"/>
    <w:rsid w:val="00971600"/>
    <w:rsid w:val="009973B4"/>
    <w:rsid w:val="009C28C1"/>
    <w:rsid w:val="009F7EED"/>
    <w:rsid w:val="00A80636"/>
    <w:rsid w:val="00A95AC0"/>
    <w:rsid w:val="00AF0AAB"/>
    <w:rsid w:val="00B211B3"/>
    <w:rsid w:val="00BD2141"/>
    <w:rsid w:val="00BF34AF"/>
    <w:rsid w:val="00BF597E"/>
    <w:rsid w:val="00C04052"/>
    <w:rsid w:val="00C51A36"/>
    <w:rsid w:val="00C55228"/>
    <w:rsid w:val="00C63768"/>
    <w:rsid w:val="00CB6633"/>
    <w:rsid w:val="00CE315A"/>
    <w:rsid w:val="00D06F59"/>
    <w:rsid w:val="00D1453F"/>
    <w:rsid w:val="00D50E12"/>
    <w:rsid w:val="00D8388C"/>
    <w:rsid w:val="00DB2E38"/>
    <w:rsid w:val="00E20E07"/>
    <w:rsid w:val="00E513AD"/>
    <w:rsid w:val="00E6224C"/>
    <w:rsid w:val="00EB0164"/>
    <w:rsid w:val="00ED0F62"/>
    <w:rsid w:val="00FB6B47"/>
    <w:rsid w:val="01260C71"/>
    <w:rsid w:val="0148246F"/>
    <w:rsid w:val="01E27364"/>
    <w:rsid w:val="020969E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763DE0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BEC3590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04436"/>
    <w:rsid w:val="42416B50"/>
    <w:rsid w:val="42541DDE"/>
    <w:rsid w:val="4262379E"/>
    <w:rsid w:val="427A1188"/>
    <w:rsid w:val="42BF734E"/>
    <w:rsid w:val="432A5E11"/>
    <w:rsid w:val="433B1167"/>
    <w:rsid w:val="434E2DBA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C27554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3863F6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590610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1347</Characters>
  <Lines>11</Lines>
  <Paragraphs>3</Paragraphs>
  <TotalTime>1</TotalTime>
  <ScaleCrop>false</ScaleCrop>
  <LinksUpToDate>false</LinksUpToDate>
  <CharactersWithSpaces>1580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2020-08-19T23:48:59Z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