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苗薇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H:审核员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2020-N1QMS-2050658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2019-N1HACCP-1050658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Q:03.03.03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H:CII-1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ISC-50658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江苏苏芽食品有限公司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南京市江宁区汤山街道上峰高庄村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211134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南京市江宁区汤山街道上峰高庄村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211134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南京市江宁区汤山街道上峰高庄村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211134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陈道赏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13770767778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马帅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陈道赏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2020年08月22日 上午至2020年08月23日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Q：03.03.03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H：CII-1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