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大庆市龙兴石油机械有限公司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0046-2018-2020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046-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8-</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大庆</w:t>
            </w:r>
            <w:r>
              <w:rPr>
                <w:rFonts w:hint="eastAsia" w:ascii="宋体" w:hAnsi="宋体"/>
                <w:szCs w:val="21"/>
                <w:lang w:val="en-US" w:eastAsia="zh-CN"/>
              </w:rPr>
              <w:t>市龙兴石油机械</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刘昌虎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ISC-2018</w:t>
            </w:r>
            <w:r>
              <w:rPr>
                <w:rFonts w:hint="eastAsia" w:cs="宋体" w:asciiTheme="minorEastAsia" w:hAnsiTheme="minorEastAsia"/>
                <w:kern w:val="0"/>
                <w:szCs w:val="21"/>
                <w:shd w:val="clear" w:color="auto" w:fill="auto"/>
                <w:lang w:val="en-US" w:eastAsia="zh-CN"/>
              </w:rPr>
              <w:t>-0360</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2023.12.24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2020.8.13-14日上午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bCs/>
                <w:sz w:val="18"/>
                <w:szCs w:val="18"/>
                <w:lang w:val="en-US" w:eastAsia="zh-CN"/>
              </w:rPr>
            </w:pPr>
            <w:r>
              <w:rPr>
                <w:rFonts w:hint="eastAsia" w:ascii="宋体" w:hAnsi="宋体" w:eastAsia="宋体" w:cs="宋体"/>
                <w:bCs/>
                <w:sz w:val="21"/>
                <w:szCs w:val="21"/>
                <w:lang w:eastAsia="zh-CN"/>
              </w:rPr>
              <w:t>管理层/技术质量部/生产部（生产车间）</w:t>
            </w:r>
            <w:r>
              <w:rPr>
                <w:rFonts w:hint="eastAsia" w:eastAsia="宋体"/>
                <w:sz w:val="18"/>
                <w:szCs w:val="18"/>
                <w:lang w:val="en-US" w:eastAsia="zh-CN"/>
              </w:rPr>
              <w:t>销售部</w:t>
            </w:r>
            <w:r>
              <w:rPr>
                <w:rFonts w:hint="eastAsia"/>
                <w:bCs/>
                <w:sz w:val="18"/>
                <w:szCs w:val="18"/>
                <w:lang w:val="en-US" w:eastAsia="zh-CN"/>
              </w:rPr>
              <w:t>/ 人力资源部/</w:t>
            </w:r>
            <w:r>
              <w:rPr>
                <w:rFonts w:hint="eastAsia"/>
                <w:sz w:val="18"/>
                <w:szCs w:val="18"/>
                <w:lang w:val="en-US" w:eastAsia="zh-CN"/>
              </w:rPr>
              <w:t>采购部</w:t>
            </w:r>
          </w:p>
          <w:p>
            <w:pPr>
              <w:jc w:val="center"/>
              <w:rPr>
                <w:rFonts w:hint="eastAsia" w:cs="宋体" w:asciiTheme="minorEastAsia" w:hAnsiTheme="minorEastAsia" w:eastAsiaTheme="minorEastAsia"/>
                <w:kern w:val="0"/>
                <w:szCs w:val="21"/>
                <w:lang w:val="en-US" w:eastAsia="zh-CN"/>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Cs w:val="21"/>
          <w:lang w:eastAsia="zh-CN"/>
        </w:rPr>
        <w:t>大庆市龙兴石油机械</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w:t>
      </w:r>
      <w:r>
        <w:rPr>
          <w:rFonts w:hint="eastAsia" w:ascii="宋体" w:hAnsi="宋体"/>
          <w:szCs w:val="21"/>
          <w:lang w:eastAsia="zh-CN"/>
        </w:rPr>
        <w:t>大庆市龙兴石油机械</w:t>
      </w:r>
      <w:r>
        <w:rPr>
          <w:rFonts w:hint="eastAsia" w:ascii="宋体" w:hAnsi="宋体"/>
          <w:bCs/>
          <w:sz w:val="24"/>
          <w:szCs w:val="24"/>
          <w:lang w:val="en-US" w:eastAsia="zh-CN"/>
        </w:rPr>
        <w:t>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19</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6</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5</w:t>
      </w:r>
      <w:r>
        <w:rPr>
          <w:rStyle w:val="10"/>
          <w:rFonts w:hint="eastAsia" w:ascii="宋体" w:eastAsia="宋体"/>
          <w:sz w:val="24"/>
          <w:szCs w:val="24"/>
        </w:rPr>
        <w:t>个职能部门和</w:t>
      </w:r>
      <w:r>
        <w:rPr>
          <w:rStyle w:val="10"/>
          <w:rFonts w:hint="eastAsia" w:ascii="宋体" w:eastAsia="宋体"/>
          <w:sz w:val="24"/>
          <w:szCs w:val="24"/>
          <w:lang w:val="en-US" w:eastAsia="zh-CN"/>
        </w:rPr>
        <w:t>2</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12</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cs="黑体"/>
          <w:sz w:val="24"/>
          <w:szCs w:val="24"/>
          <w:shd w:val="clear" w:color="FFFFFF" w:fill="D9D9D9"/>
          <w:lang w:val="en-US" w:eastAsia="zh-CN"/>
        </w:rPr>
        <w:t>王云峰</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rFonts w:hint="eastAsia" w:eastAsiaTheme="minorEastAsia"/>
          <w:sz w:val="24"/>
          <w:szCs w:val="24"/>
          <w:shd w:val="clear" w:color="auto" w:fill="auto"/>
          <w:lang w:eastAsia="zh-CN"/>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，包括：企业对已识别的抽油杆心部硬度检测测量过程，按测量过程控制规范，进行了有效性监视。记录、监视控制图齐全，完整；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抽油杆心部硬度检测</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2018年初审核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2</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w:t>
      </w:r>
      <w:r>
        <w:rPr>
          <w:rFonts w:hint="eastAsia" w:asciiTheme="minorEastAsia" w:hAnsiTheme="minorEastAsia"/>
          <w:bCs/>
          <w:sz w:val="24"/>
          <w:szCs w:val="24"/>
          <w:shd w:val="clear" w:color="auto" w:fill="auto"/>
        </w:rPr>
        <w:t>采取了</w:t>
      </w:r>
      <w:r>
        <w:rPr>
          <w:rFonts w:hint="eastAsia" w:ascii="宋体" w:hAnsi="宋体" w:cs="宋体"/>
          <w:kern w:val="0"/>
          <w:sz w:val="24"/>
          <w:szCs w:val="24"/>
          <w:shd w:val="clear" w:color="auto" w:fill="auto"/>
        </w:rPr>
        <w:t>纠正措施</w:t>
      </w:r>
      <w:r>
        <w:rPr>
          <w:rFonts w:hint="eastAsia" w:ascii="宋体" w:hAnsi="宋体" w:cs="宋体"/>
          <w:kern w:val="0"/>
          <w:sz w:val="24"/>
          <w:szCs w:val="24"/>
          <w:shd w:val="clear" w:color="auto" w:fill="auto"/>
          <w:lang w:val="en-US" w:eastAsia="zh-CN"/>
        </w:rPr>
        <w:t>，上一年度审核时已完成整改</w:t>
      </w:r>
      <w:r>
        <w:rPr>
          <w:rFonts w:hint="eastAsia" w:ascii="宋体" w:cs="宋体"/>
          <w:color w:val="000000" w:themeColor="text1"/>
          <w:kern w:val="0"/>
          <w:sz w:val="24"/>
          <w:szCs w:val="24"/>
          <w:shd w:val="clear" w:color="auto" w:fill="auto"/>
          <w:lang w:val="en-US" w:eastAsia="zh-CN"/>
        </w:rPr>
        <w:t>。</w:t>
      </w:r>
      <w:r>
        <w:rPr>
          <w:rFonts w:hint="eastAsia" w:ascii="宋体" w:hAnsi="宋体"/>
          <w:color w:val="000000" w:themeColor="text1"/>
          <w:sz w:val="24"/>
          <w:szCs w:val="24"/>
          <w:shd w:val="clear" w:color="auto" w:fill="auto"/>
        </w:rPr>
        <w:t>经审核组本次现场审核，通过对纠正措施工作的实施、完成情况跟踪及有效性进行现场查验，确认公司</w:t>
      </w:r>
      <w:r>
        <w:rPr>
          <w:rFonts w:hint="eastAsia" w:asciiTheme="minorEastAsia" w:hAnsiTheme="minorEastAsia"/>
          <w:bCs/>
          <w:sz w:val="24"/>
          <w:szCs w:val="24"/>
          <w:shd w:val="clear" w:color="auto" w:fill="auto"/>
          <w:lang w:val="en-US" w:eastAsia="zh-CN"/>
        </w:rPr>
        <w:t>上年审核</w:t>
      </w:r>
      <w:r>
        <w:rPr>
          <w:rFonts w:hint="eastAsia" w:asciiTheme="minorEastAsia" w:hAnsiTheme="minorEastAsia"/>
          <w:bCs/>
          <w:sz w:val="24"/>
          <w:szCs w:val="24"/>
          <w:shd w:val="clear" w:color="auto" w:fill="auto"/>
        </w:rPr>
        <w:t>确定的</w:t>
      </w:r>
      <w:r>
        <w:rPr>
          <w:rFonts w:hint="eastAsia" w:asciiTheme="minorEastAsia" w:hAnsiTheme="minorEastAsia"/>
          <w:bCs/>
          <w:sz w:val="24"/>
          <w:szCs w:val="24"/>
          <w:shd w:val="clear" w:color="auto" w:fill="auto"/>
          <w:lang w:val="en-US" w:eastAsia="zh-CN"/>
        </w:rPr>
        <w:t>2</w:t>
      </w:r>
      <w:r>
        <w:rPr>
          <w:rFonts w:hint="eastAsia" w:asciiTheme="minorEastAsia" w:hAnsiTheme="minorEastAsia"/>
          <w:bCs/>
          <w:sz w:val="24"/>
          <w:szCs w:val="24"/>
          <w:shd w:val="clear" w:color="auto" w:fill="auto"/>
        </w:rPr>
        <w:t>个不符合项，所</w:t>
      </w:r>
      <w:r>
        <w:rPr>
          <w:rFonts w:hint="eastAsia" w:asciiTheme="minorEastAsia" w:hAnsiTheme="minorEastAsia"/>
          <w:bCs/>
          <w:color w:val="000000" w:themeColor="text1"/>
          <w:sz w:val="24"/>
          <w:szCs w:val="24"/>
          <w:shd w:val="clear" w:color="auto" w:fill="auto"/>
        </w:rPr>
        <w:t>采取的</w:t>
      </w:r>
      <w:r>
        <w:rPr>
          <w:rFonts w:hint="eastAsia" w:ascii="宋体" w:hAnsi="宋体" w:cs="宋体"/>
          <w:color w:val="000000" w:themeColor="text1"/>
          <w:kern w:val="0"/>
          <w:sz w:val="24"/>
          <w:szCs w:val="24"/>
          <w:shd w:val="clear" w:color="auto" w:fill="auto"/>
        </w:rPr>
        <w:t>纠正措施及时、正确，完成情况良好并持续有效</w:t>
      </w:r>
      <w:r>
        <w:rPr>
          <w:rFonts w:hint="eastAsia" w:ascii="宋体" w:cs="宋体"/>
          <w:color w:val="000000" w:themeColor="text1"/>
          <w:kern w:val="0"/>
          <w:sz w:val="24"/>
          <w:szCs w:val="24"/>
          <w:shd w:val="clear" w:color="auto" w:fill="auto"/>
          <w:lang w:val="en-US" w:eastAsia="zh-CN"/>
        </w:rPr>
        <w:t>。同</w:t>
      </w:r>
      <w:r>
        <w:rPr>
          <w:rFonts w:hint="eastAsia" w:ascii="宋体" w:cs="宋体"/>
          <w:color w:val="000000" w:themeColor="text1"/>
          <w:kern w:val="0"/>
          <w:sz w:val="24"/>
          <w:szCs w:val="24"/>
          <w:shd w:val="clear" w:color="auto" w:fill="auto"/>
        </w:rPr>
        <w:t>意关闭</w:t>
      </w:r>
      <w:r>
        <w:rPr>
          <w:rFonts w:hint="eastAsia" w:ascii="宋体" w:cs="宋体"/>
          <w:color w:val="000000" w:themeColor="text1"/>
          <w:kern w:val="0"/>
          <w:sz w:val="24"/>
          <w:szCs w:val="24"/>
          <w:shd w:val="clear" w:color="auto" w:fill="auto"/>
          <w:lang w:val="en-US" w:eastAsia="zh-CN"/>
        </w:rPr>
        <w:t>2</w:t>
      </w:r>
      <w:r>
        <w:rPr>
          <w:rFonts w:hint="eastAsia" w:ascii="宋体" w:cs="宋体"/>
          <w:color w:val="000000" w:themeColor="text1"/>
          <w:kern w:val="0"/>
          <w:sz w:val="24"/>
          <w:szCs w:val="24"/>
          <w:shd w:val="clear" w:color="auto" w:fill="auto"/>
        </w:rPr>
        <w:t>个不符合项。</w:t>
      </w:r>
      <w:r>
        <w:rPr>
          <w:rFonts w:hint="eastAsia" w:asciiTheme="minorEastAsia" w:hAnsiTheme="minorEastAsia"/>
          <w:bCs/>
          <w:sz w:val="24"/>
          <w:szCs w:val="24"/>
          <w:lang w:val="en-US" w:eastAsia="zh-CN"/>
        </w:rPr>
        <w:t>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基本覆盖标准要素。201</w:t>
      </w:r>
      <w:r>
        <w:rPr>
          <w:rFonts w:hint="eastAsia" w:ascii="宋体" w:hAnsi="宋体"/>
          <w:bCs/>
          <w:sz w:val="24"/>
          <w:szCs w:val="24"/>
          <w:lang w:val="en-US" w:eastAsia="zh-CN"/>
        </w:rPr>
        <w:t>9</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spacing w:line="360" w:lineRule="exact"/>
        <w:rPr>
          <w:rFonts w:hint="eastAsia"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无</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snapToGrid w:val="0"/>
        <w:spacing w:line="360" w:lineRule="auto"/>
        <w:ind w:right="-512" w:rightChars="-244" w:firstLine="240" w:firstLineChars="100"/>
        <w:rPr>
          <w:rFonts w:hint="eastAsia" w:ascii="宋体" w:hAnsi="宋体"/>
          <w:sz w:val="24"/>
          <w:szCs w:val="24"/>
          <w:highlight w:val="none"/>
        </w:rPr>
      </w:pPr>
      <w:r>
        <w:rPr>
          <w:rFonts w:hint="eastAsia" w:ascii="宋体" w:hAnsi="宋体"/>
          <w:sz w:val="24"/>
          <w:szCs w:val="24"/>
          <w:highlight w:val="none"/>
        </w:rPr>
        <w:t xml:space="preserve">本次审核出具一般不符合项 </w:t>
      </w:r>
      <w:r>
        <w:rPr>
          <w:rFonts w:hint="eastAsia" w:ascii="宋体" w:hAnsi="宋体"/>
          <w:sz w:val="24"/>
          <w:szCs w:val="24"/>
          <w:highlight w:val="none"/>
          <w:lang w:val="en-US" w:eastAsia="zh-CN"/>
        </w:rPr>
        <w:t>1项</w:t>
      </w:r>
      <w:r>
        <w:rPr>
          <w:rFonts w:hint="eastAsia" w:ascii="宋体" w:hAnsi="宋体"/>
          <w:sz w:val="24"/>
          <w:szCs w:val="24"/>
          <w:highlight w:val="none"/>
        </w:rPr>
        <w:t>，未发现严重或系统性的不符合情况</w:t>
      </w:r>
    </w:p>
    <w:p>
      <w:pPr>
        <w:snapToGrid w:val="0"/>
        <w:spacing w:line="360" w:lineRule="auto"/>
        <w:ind w:right="-512" w:rightChars="-244" w:firstLine="240" w:firstLineChars="100"/>
        <w:rPr>
          <w:rFonts w:hint="default" w:ascii="宋体" w:hAnsi="宋体"/>
          <w:sz w:val="24"/>
          <w:szCs w:val="24"/>
          <w:highlight w:val="none"/>
          <w:lang w:val="en-US" w:eastAsia="zh-CN"/>
        </w:rPr>
      </w:pPr>
      <w:r>
        <w:rPr>
          <w:rFonts w:hint="eastAsia" w:ascii="宋体" w:hAnsi="宋体"/>
          <w:sz w:val="24"/>
          <w:szCs w:val="24"/>
          <w:highlight w:val="none"/>
          <w:lang w:val="en-US" w:eastAsia="zh-CN"/>
        </w:rPr>
        <w:t>在试验室没有对检测环境进行监控的记录，------应监视和记录影响测量的环境条件------</w:t>
      </w:r>
    </w:p>
    <w:p>
      <w:pPr>
        <w:snapToGrid w:val="0"/>
        <w:spacing w:line="360" w:lineRule="auto"/>
        <w:ind w:right="-512" w:rightChars="-244" w:firstLine="240" w:firstLineChars="100"/>
        <w:rPr>
          <w:rFonts w:hint="eastAsia" w:ascii="宋体" w:hAnsi="宋体"/>
          <w:sz w:val="24"/>
          <w:szCs w:val="24"/>
          <w:highlight w:val="none"/>
          <w:lang w:val="en-US" w:eastAsia="zh-CN"/>
        </w:rPr>
      </w:pPr>
      <w:r>
        <w:rPr>
          <w:rFonts w:hint="eastAsia" w:ascii="宋体" w:hAnsi="宋体"/>
          <w:sz w:val="24"/>
          <w:szCs w:val="24"/>
          <w:highlight w:val="none"/>
          <w:lang w:val="en-US" w:eastAsia="zh-CN"/>
        </w:rPr>
        <w:t>不符合_GB/T19022-2003标准6.3.2环境条款，不符合要求。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ascii="宋体" w:hAnsi="宋体" w:eastAsia="宋体" w:cs="Times New Roman"/>
          <w:sz w:val="24"/>
          <w:szCs w:val="24"/>
          <w:highlight w:val="none"/>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8</w:t>
      </w:r>
      <w:r>
        <w:rPr>
          <w:rStyle w:val="11"/>
          <w:rFonts w:ascii="宋体" w:hAnsi="宋体" w:eastAsia="宋体"/>
          <w:sz w:val="24"/>
          <w:szCs w:val="24"/>
        </w:rPr>
        <w:t>月</w:t>
      </w:r>
      <w:r>
        <w:rPr>
          <w:rStyle w:val="11"/>
          <w:rFonts w:hint="eastAsia" w:ascii="宋体" w:hAnsi="宋体" w:eastAsia="宋体"/>
          <w:sz w:val="24"/>
          <w:szCs w:val="24"/>
          <w:lang w:val="en-US" w:eastAsia="zh-CN"/>
        </w:rPr>
        <w:t>13</w:t>
      </w:r>
      <w:r>
        <w:rPr>
          <w:rStyle w:val="11"/>
          <w:rFonts w:ascii="宋体" w:hAnsi="宋体" w:eastAsia="宋体"/>
          <w:sz w:val="24"/>
          <w:szCs w:val="24"/>
        </w:rPr>
        <w:t>日</w:t>
      </w:r>
      <w:r>
        <w:rPr>
          <w:rStyle w:val="11"/>
          <w:rFonts w:hint="eastAsia" w:ascii="宋体" w:hAnsi="宋体" w:eastAsia="宋体"/>
          <w:sz w:val="24"/>
          <w:szCs w:val="24"/>
          <w:lang w:val="en-US" w:eastAsia="zh-CN"/>
        </w:rPr>
        <w:t>至8月14日上午</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大庆市龙兴石油机械</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第1次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hint="eastAsia" w:ascii="宋体" w:hAnsi="宋体"/>
          <w:sz w:val="24"/>
          <w:szCs w:val="24"/>
        </w:rPr>
        <w:t>用能单位的能源计量器具准确度等级：2.0级的三相四线电能表1块和2</w:t>
      </w:r>
      <w:r>
        <w:rPr>
          <w:rFonts w:hint="eastAsia" w:ascii="宋体" w:hAnsi="宋体"/>
          <w:sz w:val="24"/>
          <w:szCs w:val="24"/>
          <w:lang w:val="en-US" w:eastAsia="zh-CN"/>
        </w:rPr>
        <w:t>.5</w:t>
      </w:r>
      <w:r>
        <w:rPr>
          <w:rFonts w:hint="eastAsia" w:ascii="宋体" w:hAnsi="宋体"/>
          <w:sz w:val="24"/>
          <w:szCs w:val="24"/>
        </w:rPr>
        <w:t xml:space="preserve">级的水表1块，满足GB17167标准4.3.8表4的要求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足要求。综上所述，</w:t>
      </w:r>
      <w:r>
        <w:rPr>
          <w:rFonts w:hint="eastAsia" w:ascii="宋体" w:hAnsi="宋体"/>
          <w:sz w:val="24"/>
          <w:szCs w:val="24"/>
        </w:rPr>
        <w:t>审核组认为</w:t>
      </w:r>
      <w:r>
        <w:rPr>
          <w:rFonts w:hint="eastAsia" w:ascii="宋体" w:hAnsi="宋体"/>
          <w:szCs w:val="21"/>
          <w:lang w:eastAsia="zh-CN"/>
        </w:rPr>
        <w:t>大庆市龙兴石油机械</w:t>
      </w:r>
      <w:r>
        <w:rPr>
          <w:rStyle w:val="11"/>
          <w:rFonts w:hint="eastAsia" w:ascii="宋体" w:hAnsi="宋体" w:eastAsia="宋体"/>
          <w:sz w:val="24"/>
          <w:szCs w:val="24"/>
        </w:rPr>
        <w:t>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2020.8.14</w:t>
      </w:r>
      <w:bookmarkStart w:id="1" w:name="_GoBack"/>
      <w:bookmarkEnd w:id="1"/>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38501A6"/>
    <w:rsid w:val="14575BEE"/>
    <w:rsid w:val="14EA6CB3"/>
    <w:rsid w:val="17A323A1"/>
    <w:rsid w:val="1D5E1F47"/>
    <w:rsid w:val="1D9A2E7B"/>
    <w:rsid w:val="1DD97BCA"/>
    <w:rsid w:val="1E2774C7"/>
    <w:rsid w:val="23881FD2"/>
    <w:rsid w:val="246E16E9"/>
    <w:rsid w:val="267B10B4"/>
    <w:rsid w:val="27554591"/>
    <w:rsid w:val="28826509"/>
    <w:rsid w:val="2A55179D"/>
    <w:rsid w:val="308C462A"/>
    <w:rsid w:val="31DB01B3"/>
    <w:rsid w:val="321D6989"/>
    <w:rsid w:val="365A3F08"/>
    <w:rsid w:val="36C43AD4"/>
    <w:rsid w:val="37774C67"/>
    <w:rsid w:val="3BB67694"/>
    <w:rsid w:val="3C9F7C5C"/>
    <w:rsid w:val="3EBB7FAC"/>
    <w:rsid w:val="3EC25B56"/>
    <w:rsid w:val="4024179D"/>
    <w:rsid w:val="41300BAF"/>
    <w:rsid w:val="49C14E74"/>
    <w:rsid w:val="4A8A2F7C"/>
    <w:rsid w:val="4B005FF0"/>
    <w:rsid w:val="4F757019"/>
    <w:rsid w:val="4FF60B62"/>
    <w:rsid w:val="51C16409"/>
    <w:rsid w:val="547533AA"/>
    <w:rsid w:val="55C92FC9"/>
    <w:rsid w:val="56896C6B"/>
    <w:rsid w:val="58082CF0"/>
    <w:rsid w:val="5896057E"/>
    <w:rsid w:val="5BA410AD"/>
    <w:rsid w:val="5C2C0776"/>
    <w:rsid w:val="5F1C7C1A"/>
    <w:rsid w:val="5FB81639"/>
    <w:rsid w:val="5FCA3BA5"/>
    <w:rsid w:val="601C447D"/>
    <w:rsid w:val="61854963"/>
    <w:rsid w:val="61A667FC"/>
    <w:rsid w:val="61D14A92"/>
    <w:rsid w:val="6425758F"/>
    <w:rsid w:val="67D506DB"/>
    <w:rsid w:val="693568F0"/>
    <w:rsid w:val="707F0D4F"/>
    <w:rsid w:val="74832446"/>
    <w:rsid w:val="74BF4AAE"/>
    <w:rsid w:val="7AAE132C"/>
    <w:rsid w:val="7BAC1EE6"/>
    <w:rsid w:val="7FDB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3</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2020-08-14T00:39:23Z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