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4</w:t>
      </w:r>
      <w:r>
        <w:rPr>
          <w:rFonts w:ascii="Times New Roman" w:hAnsi="Times New Roman" w:cs="Times New Roman"/>
          <w:sz w:val="20"/>
          <w:szCs w:val="24"/>
          <w:u w:val="single"/>
        </w:rPr>
        <w:t>6-2018-2020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86"/>
        <w:gridCol w:w="519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32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HR--150DT洛氏</w:t>
            </w:r>
            <w:r>
              <w:rPr>
                <w:rFonts w:hint="eastAsia" w:cs="宋体"/>
                <w:sz w:val="18"/>
                <w:szCs w:val="18"/>
              </w:rPr>
              <w:t>硬度计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GR--150DT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</w:rPr>
              <w:t>U=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0.23%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LX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洛氏硬度计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洛氏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刘昌虎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7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  <w:bookmarkStart w:id="1" w:name="_GoBack"/>
            <w:bookmarkEnd w:id="1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7809230</wp:posOffset>
            </wp:positionV>
            <wp:extent cx="529590" cy="255905"/>
            <wp:effectExtent l="0" t="0" r="3810" b="10795"/>
            <wp:wrapNone/>
            <wp:docPr id="2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0812CE"/>
    <w:rsid w:val="2B962064"/>
    <w:rsid w:val="3EB56F42"/>
    <w:rsid w:val="592F6F5D"/>
    <w:rsid w:val="6B756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2020-08-13T06:11:31Z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