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rFonts w:ascii="黑体" w:hAnsi="宋体" w:eastAsia="黑体"/>
          <w:sz w:val="24"/>
        </w:rPr>
      </w:pPr>
      <w:r>
        <w:rPr>
          <w:rFonts w:hint="eastAsia"/>
          <w:sz w:val="32"/>
          <w:szCs w:val="32"/>
        </w:rPr>
        <w:t>压力表检定测量过程测量不确定度的分析评定</w:t>
      </w:r>
    </w:p>
    <w:p>
      <w:pPr>
        <w:spacing w:line="360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1、概述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1.1测量依据：JJG52-2013《弹簧管式一般压力表、压力真空表和真空表检定规程》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1.2环境条件：温度(20±5)℃，湿度≤85%。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1.3测量标准：0.05级精密压力表中给出(0～10)MPa，最大允许误差为±10×0.05%=±0.005MPa的精密压力表。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1.4被测对象：1.6级(0～4)MPa的普通工作压力表。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1.5用直接加压方式，测出测量示值与标准值之差即为示值误差。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1.6评定结果使用：在符合上述条件下，对(0～4)MPa普通工作压力表在4MPa点受检处进行示值误差的测量，一般可使用本不确定度的评定方法。</w:t>
      </w:r>
    </w:p>
    <w:p>
      <w:pPr>
        <w:spacing w:line="360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2、数学模型</w:t>
      </w:r>
    </w:p>
    <w:p>
      <w:pPr>
        <w:ind w:left="376" w:leftChars="171" w:firstLine="1440" w:firstLineChars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ΔP=P-P</w:t>
      </w:r>
      <w:r>
        <w:rPr>
          <w:rFonts w:hint="eastAsia" w:ascii="宋体" w:hAnsi="宋体"/>
          <w:sz w:val="24"/>
          <w:vertAlign w:val="subscript"/>
        </w:rPr>
        <w:t>b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ΔP—压力表示值误差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P—压力表示值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</w:t>
      </w:r>
      <w:r>
        <w:rPr>
          <w:rFonts w:hint="eastAsia" w:ascii="宋体" w:hAnsi="宋体"/>
          <w:sz w:val="24"/>
          <w:vertAlign w:val="subscript"/>
        </w:rPr>
        <w:t>b</w:t>
      </w:r>
      <w:r>
        <w:rPr>
          <w:rFonts w:hint="eastAsia" w:ascii="宋体" w:hAnsi="宋体"/>
          <w:sz w:val="24"/>
        </w:rPr>
        <w:t>—精密压力表标准值</w:t>
      </w:r>
    </w:p>
    <w:p>
      <w:pPr>
        <w:spacing w:line="360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3、被测量引入的标准不确定度：</w:t>
      </w:r>
    </w:p>
    <w:p>
      <w:pPr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本评定方法以最大4MPa为例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3.1输入量P的标准不确定度来源u</w:t>
      </w:r>
      <w:r>
        <w:rPr>
          <w:rFonts w:hint="eastAsia" w:ascii="宋体" w:hAnsi="宋体"/>
          <w:sz w:val="24"/>
          <w:vertAlign w:val="subscript"/>
        </w:rPr>
        <w:t>(P)</w:t>
      </w:r>
      <w:r>
        <w:rPr>
          <w:rFonts w:hint="eastAsia" w:ascii="宋体" w:hAnsi="宋体"/>
          <w:sz w:val="24"/>
        </w:rPr>
        <w:t>主要是压力表测量的重复性及环境温度变化引起的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3.1.1压力表测量重复性引起的标准不确定度u</w:t>
      </w:r>
      <w:r>
        <w:rPr>
          <w:rFonts w:hint="eastAsia" w:ascii="宋体" w:hAnsi="宋体"/>
          <w:sz w:val="24"/>
          <w:vertAlign w:val="subscript"/>
        </w:rPr>
        <w:t>(PS)</w:t>
      </w:r>
      <w:r>
        <w:rPr>
          <w:rFonts w:hint="eastAsia" w:ascii="宋体" w:hAnsi="宋体"/>
          <w:sz w:val="24"/>
        </w:rPr>
        <w:t>的评定(A类评定方法)，选取编号为JP1-15062069，测量范围为(0-4)MPa，分度值为0.1MPa的1.6级工作压力表，在4MPa的受检点处，等精度反复测量10次，得到如下测量列：4.00，4.01，4.00，4.00，4.01，4.00，4.00，3.99，4.00，4.00，</w:t>
      </w:r>
    </w:p>
    <w:p>
      <w:pPr>
        <w:ind w:firstLine="1680" w:firstLineChars="7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rect id="_x0000_s1027" o:spid="_x0000_s1027" o:spt="1" style="position:absolute;left:0pt;margin-left:161.3pt;margin-top:27.95pt;height:15pt;width:43.15pt;z-index:25166131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</w:rPr>
                    <w:t>4.00MPa</w:t>
                  </w:r>
                </w:p>
              </w:txbxContent>
            </v:textbox>
          </v:rect>
        </w:pict>
      </w:r>
      <w:r>
        <w:rPr>
          <w:rFonts w:ascii="宋体" w:hAnsi="宋体"/>
          <w:position w:val="-28"/>
          <w:sz w:val="24"/>
        </w:rPr>
        <w:object>
          <v:shape id="_x0000_i1025" o:spt="75" type="#_x0000_t75" style="height:36pt;width:108.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s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color w:val="FF0000"/>
          <w:position w:val="-20"/>
          <w:sz w:val="24"/>
        </w:rPr>
        <w:object>
          <v:shape id="_x0000_i1026" o:spt="75" type="#_x0000_t75" style="height:29.2pt;width:12.9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s" ShapeID="_x0000_i1026" DrawAspect="Content" ObjectID="_1468075726" r:id="rId6">
            <o:LockedField>false</o:LockedField>
          </o:OLEObject>
        </w:object>
      </w:r>
      <w:r>
        <w:rPr>
          <w:rFonts w:ascii="宋体" w:hAnsi="宋体"/>
          <w:color w:val="000000"/>
          <w:position w:val="-12"/>
          <w:sz w:val="24"/>
        </w:rPr>
        <w:object>
          <v:shape id="_x0000_i1027" o:spt="75" type="#_x0000_t75" style="height:20.4pt;width:15.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7" DrawAspect="Content" ObjectID="_1468075727" r:id="rId8">
            <o:LockedField>false</o:LockedField>
          </o:OLEObject>
        </w:objec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2.9×</w:t>
      </w:r>
      <w:r>
        <w:rPr>
          <w:rFonts w:ascii="宋体" w:hAnsi="宋体"/>
          <w:position w:val="-6"/>
          <w:sz w:val="24"/>
        </w:rPr>
        <w:object>
          <v:shape id="_x0000_i1028" o:spt="75" type="#_x0000_t75" style="height:15.6pt;width:23.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s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pict>
          <v:shape id="_x0000_s1026" o:spid="_x0000_s1026" o:spt="75" type="#_x0000_t75" style="position:absolute;left:0pt;margin-left:0pt;margin-top:0pt;height:0.7pt;width:0.4pt;mso-wrap-distance-bottom:0pt;mso-wrap-distance-top:0pt;z-index:251660288;mso-width-relative:page;mso-height-relative:page;" o:ole="t" filled="f" o:preferrelative="t" stroked="f" coordsize="21600,21600" o:allowincell="f">
            <v:path/>
            <v:fill on="f" focussize="0,0"/>
            <v:stroke on="f" joinstyle="miter"/>
            <v:imagedata r:id="rId13" o:title=""/>
            <o:lock v:ext="edit" aspectratio="t"/>
            <w10:wrap type="topAndBottom"/>
          </v:shape>
          <o:OLEObject Type="Embed" ProgID="Equations" ShapeID="_x0000_s1026" DrawAspect="Content" ObjectID="_1468075729" r:id="rId12">
            <o:LockedField>false</o:LockedField>
          </o:OLEObject>
        </w:pict>
      </w:r>
      <w:r>
        <w:rPr>
          <w:rFonts w:ascii="宋体" w:hAnsi="宋体"/>
          <w:sz w:val="24"/>
        </w:rPr>
        <w:t>S=</w:t>
      </w:r>
      <w:r>
        <w:rPr>
          <w:rFonts w:hint="eastAsia" w:ascii="宋体" w:hAnsi="宋体"/>
          <w:color w:val="FF0000"/>
          <w:position w:val="-26"/>
          <w:sz w:val="24"/>
        </w:rPr>
        <w:object>
          <v:shape id="_x0000_i1029" o:spt="75" type="#_x0000_t75" style="height:51.6pt;width:42.8pt;" o:ole="t" fillcolor="#FFFFFF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s" ShapeID="_x0000_i1029" DrawAspect="Content" ObjectID="_1468075730" r:id="rId14">
            <o:LockedField>false</o:LockedField>
          </o:OLEObject>
        </w:object>
      </w:r>
      <w:r>
        <w:rPr>
          <w:rFonts w:ascii="宋体" w:hAnsi="宋体"/>
          <w:color w:val="000000"/>
          <w:sz w:val="24"/>
        </w:rPr>
        <w:t>=</w:t>
      </w:r>
      <w:r>
        <w:rPr>
          <w:rFonts w:hint="eastAsia" w:ascii="宋体" w:hAnsi="宋体"/>
          <w:sz w:val="24"/>
        </w:rPr>
        <w:t xml:space="preserve"> 0.0057MPa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则输入量Ps的相对不确定度为</w:t>
      </w:r>
      <w:r>
        <w:rPr>
          <w:rFonts w:ascii="宋体" w:hAnsi="宋体"/>
          <w:position w:val="-14"/>
          <w:sz w:val="24"/>
        </w:rPr>
        <w:object>
          <v:shape id="_x0000_i1030" o:spt="75" type="#_x0000_t75" style="height:21.05pt;width:7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s" ShapeID="_x0000_i1030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=0.14%，自由度υ</w:t>
      </w:r>
      <w:r>
        <w:rPr>
          <w:rFonts w:hint="eastAsia" w:ascii="宋体" w:hAnsi="宋体"/>
          <w:sz w:val="24"/>
          <w:vertAlign w:val="subscript"/>
        </w:rPr>
        <w:t>PS</w:t>
      </w:r>
      <w:r>
        <w:rPr>
          <w:rFonts w:hint="eastAsia" w:ascii="宋体" w:hAnsi="宋体"/>
          <w:sz w:val="24"/>
        </w:rPr>
        <w:t>=10-1=9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3.1.2环境条件的不确定度分量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当环境温度偏离(20±3)℃时，指示误差增量ΔPt=k·Δt，通常情况下k=0.04%，设温度，t2=24℃，t1=23℃，温度变化引起的示值误差的分布视为均匀分布处理，所以ｋ＝</w:t>
      </w:r>
      <w:r>
        <w:rPr>
          <w:rFonts w:ascii="宋体" w:hAnsi="宋体"/>
          <w:position w:val="-8"/>
          <w:sz w:val="24"/>
        </w:rPr>
        <w:object>
          <v:shape id="_x0000_i1031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s" ShapeID="_x0000_i1031" DrawAspect="Content" ObjectID="_1468075732" r:id="rId18">
            <o:LockedField>false</o:LockedField>
          </o:OLEObject>
        </w:object>
      </w:r>
      <w:r>
        <w:rPr>
          <w:rFonts w:hint="eastAsia" w:ascii="宋体" w:hAnsi="宋体"/>
          <w:sz w:val="24"/>
        </w:rPr>
        <w:t>，则：</w:t>
      </w:r>
    </w:p>
    <w:p>
      <w:pPr>
        <w:ind w:firstLine="1680" w:firstLineChars="700"/>
        <w:rPr>
          <w:rFonts w:ascii="宋体" w:hAnsi="宋体"/>
          <w:sz w:val="24"/>
        </w:rPr>
      </w:pPr>
      <w:r>
        <w:rPr>
          <w:rFonts w:ascii="宋体" w:hAnsi="宋体"/>
          <w:position w:val="-12"/>
          <w:sz w:val="24"/>
        </w:rPr>
        <w:object>
          <v:shape id="_x0000_i1032" o:spt="75" type="#_x0000_t75" style="height:19pt;width:60.4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s" ShapeID="_x0000_i1032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33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s" ShapeID="_x0000_i1033" DrawAspect="Content" ObjectID="_1468075734" r:id="rId22">
            <o:LockedField>false</o:LockedField>
          </o:OLEObject>
        </w:object>
      </w:r>
      <w:r>
        <w:rPr>
          <w:rFonts w:hint="eastAsia" w:ascii="宋体" w:hAnsi="宋体"/>
          <w:sz w:val="24"/>
        </w:rPr>
        <w:t>，u(Pt)=0.04%×(24-23)/</w:t>
      </w:r>
      <w:r>
        <w:rPr>
          <w:rFonts w:ascii="宋体" w:hAnsi="宋体"/>
          <w:position w:val="-8"/>
          <w:sz w:val="24"/>
        </w:rPr>
        <w:object>
          <v:shape id="_x0000_i1034" o:spt="75" type="#_x0000_t75" style="height:18.35pt;width:18.3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s" ShapeID="_x0000_i1034" DrawAspect="Content" ObjectID="_1468075735" r:id="rId23">
            <o:LockedField>false</o:LockedField>
          </o:OLEObject>
        </w:object>
      </w:r>
      <w:r>
        <w:rPr>
          <w:rFonts w:hint="eastAsia" w:ascii="宋体" w:hAnsi="宋体"/>
          <w:sz w:val="24"/>
        </w:rPr>
        <w:t>=0.023%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估计</w:t>
      </w:r>
      <w:r>
        <w:rPr>
          <w:rFonts w:ascii="宋体" w:hAnsi="宋体"/>
          <w:position w:val="-30"/>
          <w:sz w:val="24"/>
        </w:rPr>
        <w:object>
          <v:shape id="_x0000_i1035" o:spt="75" type="#_x0000_t75" style="height:35.3pt;width:7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s" ShapeID="_x0000_i1035" DrawAspect="Content" ObjectID="_1468075736" r:id="rId24">
            <o:LockedField>false</o:LockedField>
          </o:OLEObject>
        </w:object>
      </w:r>
      <w:r>
        <w:rPr>
          <w:rFonts w:hint="eastAsia" w:ascii="宋体" w:hAnsi="宋体"/>
          <w:sz w:val="24"/>
        </w:rPr>
        <w:t>，则自由度</w:t>
      </w:r>
      <w:r>
        <w:rPr>
          <w:rFonts w:ascii="宋体" w:hAnsi="宋体"/>
          <w:position w:val="-30"/>
          <w:sz w:val="24"/>
        </w:rPr>
        <w:object>
          <v:shape id="_x0000_i1036" o:spt="75" type="#_x0000_t75" style="height:35.3pt;width:9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s" ShapeID="_x0000_i1036" DrawAspect="Content" ObjectID="_1468075737" r:id="rId26">
            <o:LockedField>false</o:LockedField>
          </o:OLEObject>
        </w:object>
      </w:r>
      <w:r>
        <w:rPr>
          <w:rFonts w:hint="eastAsia" w:ascii="宋体" w:hAnsi="宋体"/>
          <w:sz w:val="24"/>
        </w:rPr>
        <w:t>=50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3.1.3输入量P的不确定度计算</w:t>
      </w:r>
    </w:p>
    <w:p>
      <w:pPr>
        <w:ind w:left="220" w:leftChars="100" w:firstLine="1440" w:firstLineChars="600"/>
        <w:rPr>
          <w:rFonts w:ascii="宋体" w:hAnsi="宋体"/>
          <w:sz w:val="24"/>
        </w:rPr>
      </w:pPr>
      <w:r>
        <w:rPr>
          <w:rFonts w:ascii="宋体" w:hAnsi="宋体"/>
          <w:position w:val="-12"/>
          <w:sz w:val="24"/>
        </w:rPr>
        <w:object>
          <v:shape id="_x0000_i1037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s" ShapeID="_x0000_i1037" DrawAspect="Content" ObjectID="_1468075738" r:id="rId28">
            <o:LockedField>false</o:LockedField>
          </o:OLEObject>
        </w:object>
      </w:r>
    </w:p>
    <w:p>
      <w:pPr>
        <w:ind w:left="220" w:leftChars="100" w:firstLine="1440" w:firstLineChars="6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38" o:spt="75" type="#_x0000_t75" style="height:23.1pt;width:215.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s" ShapeID="_x0000_i1038" DrawAspect="Content" ObjectID="_1468075739" r:id="rId30">
            <o:LockedField>false</o:LockedField>
          </o:OLEObject>
        </w:object>
      </w:r>
      <w:r>
        <w:rPr>
          <w:rFonts w:hint="eastAsia" w:ascii="宋体" w:hAnsi="宋体"/>
          <w:sz w:val="24"/>
        </w:rPr>
        <w:t>=0.14%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自由度</w:t>
      </w:r>
      <w:r>
        <w:rPr>
          <w:rFonts w:ascii="宋体" w:hAnsi="宋体"/>
          <w:position w:val="-68"/>
          <w:sz w:val="24"/>
        </w:rPr>
        <w:object>
          <v:shape id="_x0000_i1039" o:spt="75" type="#_x0000_t75" style="height:55pt;width:152.8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s" ShapeID="_x0000_i1039" DrawAspect="Content" ObjectID="_1468075740" r:id="rId32">
            <o:LockedField>false</o:LockedField>
          </o:OLEObject>
        </w:object>
      </w:r>
      <w:r>
        <w:rPr>
          <w:rFonts w:hint="eastAsia" w:ascii="宋体" w:hAnsi="宋体"/>
          <w:sz w:val="24"/>
        </w:rPr>
        <w:t>=9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 标准表输入的不确定度分量P</w:t>
      </w:r>
      <w:r>
        <w:rPr>
          <w:rFonts w:hint="eastAsia" w:ascii="宋体" w:hAnsi="宋体"/>
          <w:b/>
          <w:sz w:val="24"/>
          <w:vertAlign w:val="subscript"/>
        </w:rPr>
        <w:t>B</w:t>
      </w:r>
      <w:r>
        <w:rPr>
          <w:rFonts w:hint="eastAsia" w:ascii="宋体" w:hAnsi="宋体"/>
          <w:sz w:val="24"/>
        </w:rPr>
        <w:t>评定</w:t>
      </w:r>
    </w:p>
    <w:p>
      <w:pPr>
        <w:ind w:firstLine="480" w:firstLineChars="200"/>
        <w:rPr>
          <w:szCs w:val="21"/>
        </w:rPr>
      </w:pPr>
      <w:r>
        <w:rPr>
          <w:rFonts w:hint="eastAsia" w:ascii="宋体" w:hAnsi="宋体"/>
          <w:sz w:val="24"/>
        </w:rPr>
        <w:t>标准压力表量值允许误差的不确定度u</w:t>
      </w:r>
      <w:r>
        <w:rPr>
          <w:rFonts w:hint="eastAsia" w:ascii="宋体" w:hAnsi="宋体"/>
          <w:sz w:val="24"/>
          <w:vertAlign w:val="subscript"/>
        </w:rPr>
        <w:t>(Pb)</w:t>
      </w:r>
      <w:r>
        <w:rPr>
          <w:rFonts w:hint="eastAsia" w:ascii="宋体" w:hAnsi="宋体"/>
          <w:sz w:val="24"/>
        </w:rPr>
        <w:t>，标准压力表的允许误差ΔPb=±0.05%，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检定合格的标准压力表示值误差的分布视为正态分布，即选k=3，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u(Pb)=ΔPb/3=0.05%/3=0.016%，估计</w:t>
      </w:r>
      <w:r>
        <w:rPr>
          <w:rFonts w:ascii="宋体" w:hAnsi="宋体"/>
          <w:position w:val="-30"/>
          <w:sz w:val="24"/>
        </w:rPr>
        <w:object>
          <v:shape id="_x0000_i1040" o:spt="75" type="#_x0000_t75" style="height:35.3pt;width:40.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s" ShapeID="_x0000_i1040" DrawAspect="Content" ObjectID="_1468075741" r:id="rId34">
            <o:LockedField>false</o:LockedField>
          </o:OLEObject>
        </w:object>
      </w:r>
      <w:r>
        <w:rPr>
          <w:rFonts w:hint="eastAsia" w:ascii="宋体" w:hAnsi="宋体"/>
          <w:sz w:val="24"/>
        </w:rPr>
        <w:t>=0.1，则自由度</w:t>
      </w:r>
      <w:r>
        <w:rPr>
          <w:rFonts w:ascii="宋体" w:hAnsi="宋体"/>
          <w:position w:val="-24"/>
          <w:sz w:val="24"/>
        </w:rPr>
        <w:object>
          <v:shape id="_x0000_i1041" o:spt="75" type="#_x0000_t75" style="height:30.55pt;width:41.4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s" ShapeID="_x0000_i1041" DrawAspect="Content" ObjectID="_1468075742" r:id="rId36">
            <o:LockedField>false</o:LockedField>
          </o:OLEObject>
        </w:object>
      </w: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position w:val="-30"/>
          <w:sz w:val="24"/>
        </w:rPr>
        <w:object>
          <v:shape id="_x0000_i1042" o:spt="75" type="#_x0000_t75" style="height:35.3pt;width:40.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s" ShapeID="_x0000_i1042" DrawAspect="Content" ObjectID="_1468075743" r:id="rId38">
            <o:LockedField>false</o:LockedField>
          </o:OLEObject>
        </w:objec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position w:val="-4"/>
          <w:sz w:val="24"/>
        </w:rPr>
        <w:object>
          <v:shape id="_x0000_i1043" o:spt="75" type="#_x0000_t75" style="height:14.95pt;width:11.5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s" ShapeID="_x0000_i1043" DrawAspect="Content" ObjectID="_1468075744" r:id="rId40">
            <o:LockedField>false</o:LockedField>
          </o:OLEObject>
        </w:object>
      </w:r>
      <w:r>
        <w:rPr>
          <w:rFonts w:hint="eastAsia" w:ascii="宋体" w:hAnsi="宋体"/>
          <w:sz w:val="24"/>
        </w:rPr>
        <w:t>=50</w:t>
      </w:r>
    </w:p>
    <w:p>
      <w:pPr>
        <w:spacing w:line="360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4、合成标准不确定度评定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4.1灵敏系数：</w:t>
      </w:r>
      <w:r>
        <w:rPr>
          <w:rFonts w:ascii="宋体" w:hAnsi="宋体"/>
          <w:position w:val="-30"/>
          <w:sz w:val="24"/>
        </w:rPr>
        <w:object>
          <v:shape id="_x0000_i1044" o:spt="75" type="#_x0000_t75" style="height:33.95pt;width:65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s" ShapeID="_x0000_i1044" DrawAspect="Content" ObjectID="_1468075745" r:id="rId42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position w:val="-30"/>
          <w:sz w:val="24"/>
        </w:rPr>
        <w:object>
          <v:shape id="_x0000_i1045" o:spt="75" type="#_x0000_t75" style="height:33.95pt;width:74.0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s" ShapeID="_x0000_i1045" DrawAspect="Content" ObjectID="_1468075746" r:id="rId44">
            <o:LockedField>false</o:LockedField>
          </o:OLEObject>
        </w:objec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4.2标准不确定度汇总表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输入量的标准不确定度汇总于下表：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008"/>
        <w:gridCol w:w="1757"/>
        <w:gridCol w:w="753"/>
        <w:gridCol w:w="1255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不确定度分量u(Xi)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标准不确定度(%)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Ci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∣Ci∣u(Xi)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υi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5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u(P)</w:t>
            </w:r>
          </w:p>
        </w:tc>
        <w:tc>
          <w:tcPr>
            <w:tcW w:w="2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压力表的测量重复性       u(PS) =0.14%</w:t>
            </w:r>
          </w:p>
        </w:tc>
        <w:tc>
          <w:tcPr>
            <w:tcW w:w="175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0.14%</w:t>
            </w:r>
          </w:p>
        </w:tc>
        <w:tc>
          <w:tcPr>
            <w:tcW w:w="75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5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0.14%</w:t>
            </w:r>
          </w:p>
        </w:tc>
        <w:tc>
          <w:tcPr>
            <w:tcW w:w="75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5"/>
                <w:sz w:val="24"/>
                <w:fitText w:val="105" w:id="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环境温度   u(Pt) =0.023%</w:t>
            </w: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u(Pb)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标准压力表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0.016%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0.016%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</w:tr>
    </w:tbl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4.3合成标准不确定度的计算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合成标准不确定度可按下式计算：</w:t>
      </w:r>
    </w:p>
    <w:p>
      <w:pPr>
        <w:ind w:firstLine="2064" w:firstLineChars="860"/>
        <w:rPr>
          <w:rFonts w:ascii="宋体" w:hAnsi="宋体"/>
          <w:sz w:val="24"/>
        </w:rPr>
      </w:pPr>
      <w:r>
        <w:rPr>
          <w:rFonts w:ascii="宋体" w:hAnsi="宋体"/>
          <w:position w:val="-30"/>
          <w:sz w:val="24"/>
        </w:rPr>
        <w:object>
          <v:shape id="_x0000_i1046" o:spt="75" type="#_x0000_t75" style="height:33.95pt;width:198.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s" ShapeID="_x0000_i1046" DrawAspect="Content" ObjectID="_1468075747" r:id="rId46">
            <o:LockedField>false</o:LockedField>
          </o:OLEObject>
        </w:object>
      </w:r>
    </w:p>
    <w:p>
      <w:pPr>
        <w:ind w:left="565" w:leftChars="257" w:firstLine="1408" w:firstLineChars="587"/>
        <w:rPr>
          <w:rFonts w:ascii="宋体" w:hAnsi="宋体"/>
          <w:sz w:val="24"/>
        </w:rPr>
      </w:pPr>
      <w:r>
        <w:rPr>
          <w:rFonts w:hint="eastAsia" w:ascii="宋体" w:hAnsi="宋体"/>
          <w:i/>
          <w:sz w:val="24"/>
        </w:rPr>
        <w:t>u</w:t>
      </w:r>
      <w:r>
        <w:rPr>
          <w:rFonts w:hint="eastAsia" w:ascii="宋体" w:hAnsi="宋体"/>
          <w:i/>
          <w:sz w:val="24"/>
          <w:vertAlign w:val="subscript"/>
        </w:rPr>
        <w:t>c</w:t>
      </w:r>
      <w:r>
        <w:rPr>
          <w:rFonts w:hint="eastAsia" w:ascii="宋体" w:hAnsi="宋体"/>
          <w:sz w:val="24"/>
        </w:rPr>
        <w:t xml:space="preserve">(ΔP)= 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0.016%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0.14%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rFonts w:hint="eastAsia" w:ascii="宋体" w:hAnsi="宋体"/>
          <w:sz w:val="24"/>
        </w:rPr>
        <w:t>=0.14%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4.4合成不确定度的有效自由度</w:t>
      </w:r>
    </w:p>
    <w:p>
      <w:pPr>
        <w:ind w:firstLine="630"/>
        <w:rPr>
          <w:rFonts w:ascii="宋体" w:hAnsi="宋体"/>
          <w:sz w:val="24"/>
        </w:rPr>
      </w:pPr>
      <w:r>
        <w:rPr>
          <w:rFonts w:ascii="宋体" w:hAnsi="宋体"/>
          <w:position w:val="-66"/>
          <w:sz w:val="24"/>
        </w:rPr>
        <w:object>
          <v:shape id="_x0000_i1047" o:spt="75" type="#_x0000_t75" style="height:55pt;width:237.0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s" ShapeID="_x0000_i1047" DrawAspect="Content" ObjectID="_1468075748" r:id="rId48">
            <o:LockedField>false</o:LockedField>
          </o:OLEObject>
        </w:object>
      </w:r>
      <w:r>
        <w:rPr>
          <w:rFonts w:hint="eastAsia" w:ascii="宋体" w:hAnsi="宋体"/>
          <w:sz w:val="24"/>
        </w:rPr>
        <w:t>27.5，取25</w:t>
      </w:r>
    </w:p>
    <w:p>
      <w:pPr>
        <w:spacing w:line="360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5、扩展不确定度的评定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取置信概率95%，按有效自由度ｔ分布得到</w:t>
      </w:r>
      <w:r>
        <w:rPr>
          <w:rFonts w:ascii="宋体" w:hAnsi="宋体"/>
          <w:position w:val="-14"/>
          <w:sz w:val="24"/>
        </w:rPr>
        <w:object>
          <v:shape id="_x0000_i1048" o:spt="75" type="#_x0000_t75" style="height:19pt;width:95.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s" ShapeID="_x0000_i1048" DrawAspect="Content" ObjectID="_1468075749" r:id="rId50">
            <o:LockedField>false</o:LockedField>
          </o:OLEObject>
        </w:objec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扩展不确定度U</w:t>
      </w:r>
      <w:r>
        <w:rPr>
          <w:rFonts w:hint="eastAsia" w:ascii="宋体" w:hAnsi="宋体"/>
          <w:sz w:val="24"/>
          <w:vertAlign w:val="subscript"/>
        </w:rPr>
        <w:t>95</w:t>
      </w:r>
      <w:r>
        <w:rPr>
          <w:rFonts w:hint="eastAsia" w:ascii="宋体" w:hAnsi="宋体"/>
          <w:sz w:val="24"/>
        </w:rPr>
        <w:t>=t</w:t>
      </w:r>
      <w:r>
        <w:rPr>
          <w:rFonts w:hint="eastAsia" w:ascii="宋体" w:hAnsi="宋体"/>
          <w:sz w:val="24"/>
          <w:vertAlign w:val="subscript"/>
        </w:rPr>
        <w:t>95</w:t>
      </w:r>
      <w:r>
        <w:rPr>
          <w:rFonts w:hint="eastAsia" w:ascii="宋体" w:hAnsi="宋体"/>
          <w:sz w:val="24"/>
        </w:rPr>
        <w:t>(25)*</w:t>
      </w:r>
      <w:r>
        <w:rPr>
          <w:rFonts w:hint="eastAsia" w:ascii="宋体" w:hAnsi="宋体"/>
          <w:i/>
          <w:sz w:val="24"/>
        </w:rPr>
        <w:t xml:space="preserve"> u</w:t>
      </w:r>
      <w:r>
        <w:rPr>
          <w:rFonts w:hint="eastAsia" w:ascii="宋体" w:hAnsi="宋体"/>
          <w:i/>
          <w:sz w:val="24"/>
          <w:vertAlign w:val="subscript"/>
        </w:rPr>
        <w:t>c</w:t>
      </w:r>
      <w:r>
        <w:rPr>
          <w:rFonts w:hint="eastAsia" w:ascii="宋体" w:hAnsi="宋体"/>
          <w:sz w:val="24"/>
        </w:rPr>
        <w:t>(ΔP)=2.06×0.14%=0.29%</w:t>
      </w:r>
    </w:p>
    <w:p>
      <w:pPr>
        <w:ind w:firstLine="480" w:firstLineChars="200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ind w:firstLine="480" w:firstLineChars="200"/>
        <w:rPr>
          <w:rFonts w:hint="default" w:ascii="宋体" w:hAnsi="宋体" w:eastAsia="微软雅黑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评定人：谭华           2020.8.28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729D9"/>
    <w:rsid w:val="00323B43"/>
    <w:rsid w:val="003D37D8"/>
    <w:rsid w:val="00426133"/>
    <w:rsid w:val="004358AB"/>
    <w:rsid w:val="00453D84"/>
    <w:rsid w:val="00557307"/>
    <w:rsid w:val="005A135A"/>
    <w:rsid w:val="006115B2"/>
    <w:rsid w:val="006D1C93"/>
    <w:rsid w:val="007962B8"/>
    <w:rsid w:val="008B7726"/>
    <w:rsid w:val="00B230BD"/>
    <w:rsid w:val="00BF3430"/>
    <w:rsid w:val="00D275D0"/>
    <w:rsid w:val="00D31D50"/>
    <w:rsid w:val="00D527AE"/>
    <w:rsid w:val="00DC1EB8"/>
    <w:rsid w:val="00EA3B81"/>
    <w:rsid w:val="60E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styleId="10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1576</Characters>
  <Lines>13</Lines>
  <Paragraphs>3</Paragraphs>
  <TotalTime>100</TotalTime>
  <ScaleCrop>false</ScaleCrop>
  <LinksUpToDate>false</LinksUpToDate>
  <CharactersWithSpaces>1849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ZengFmaily</dc:creator>
  <cp:lastModifiedBy>ZengFmaily</cp:lastModifiedBy>
  <dcterms:modified xsi:type="dcterms:W3CDTF">2020-09-28T15:29:13Z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