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0409-2020-Q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114300" distR="114300">
            <wp:extent cx="2091690" cy="2091690"/>
            <wp:effectExtent l="0" t="0" r="11430" b="11430"/>
            <wp:docPr id="1"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副本.jpg"/>
                    <pic:cNvPicPr>
                      <a:picLocks noChangeAspect="1"/>
                    </pic:cNvPicPr>
                  </pic:nvPicPr>
                  <pic:blipFill>
                    <a:blip r:embed="rId5"/>
                    <a:stretch>
                      <a:fillRect/>
                    </a:stretch>
                  </pic:blipFill>
                  <pic:spPr>
                    <a:xfrm>
                      <a:off x="0" y="0"/>
                      <a:ext cx="2091690" cy="2091690"/>
                    </a:xfrm>
                    <a:prstGeom prst="rect">
                      <a:avLst/>
                    </a:prstGeom>
                    <a:noFill/>
                    <a:ln>
                      <a:noFill/>
                    </a:ln>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成都锦兰货运有限公司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noWrap w:val="0"/>
            <w:vAlign w:val="center"/>
          </w:tcPr>
          <w:p>
            <w:pPr>
              <w:rPr>
                <w:b/>
                <w:color w:val="000000"/>
                <w:sz w:val="20"/>
                <w:szCs w:val="20"/>
              </w:rPr>
            </w:pPr>
            <w:r>
              <w:rPr>
                <w:rFonts w:hint="eastAsia"/>
                <w:b/>
                <w:color w:val="000000"/>
                <w:sz w:val="20"/>
                <w:szCs w:val="20"/>
              </w:rPr>
              <w:t>审核方名称</w:t>
            </w:r>
          </w:p>
        </w:tc>
        <w:tc>
          <w:tcPr>
            <w:tcW w:w="7681" w:type="dxa"/>
            <w:gridSpan w:val="10"/>
            <w:noWrap w:val="0"/>
            <w:vAlign w:val="center"/>
          </w:tcPr>
          <w:p>
            <w:pPr>
              <w:rPr>
                <w:b/>
                <w:color w:val="000000"/>
                <w:sz w:val="20"/>
                <w:szCs w:val="20"/>
              </w:rPr>
            </w:pPr>
            <w:r>
              <w:rPr>
                <w:rFonts w:hint="eastAsia"/>
                <w:b/>
                <w:color w:val="000000"/>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noWrap w:val="0"/>
            <w:vAlign w:val="center"/>
          </w:tcPr>
          <w:p>
            <w:pPr>
              <w:rPr>
                <w:b/>
                <w:color w:val="000000"/>
                <w:sz w:val="20"/>
                <w:szCs w:val="20"/>
              </w:rPr>
            </w:pPr>
            <w:r>
              <w:rPr>
                <w:rFonts w:hint="eastAsia"/>
                <w:b/>
                <w:color w:val="000000"/>
                <w:sz w:val="20"/>
                <w:szCs w:val="20"/>
              </w:rPr>
              <w:t>审核方地址</w:t>
            </w:r>
          </w:p>
        </w:tc>
        <w:tc>
          <w:tcPr>
            <w:tcW w:w="5360" w:type="dxa"/>
            <w:gridSpan w:val="7"/>
            <w:noWrap w:val="0"/>
            <w:vAlign w:val="center"/>
          </w:tcPr>
          <w:p>
            <w:pPr>
              <w:rPr>
                <w:b/>
                <w:color w:val="000000"/>
                <w:sz w:val="20"/>
                <w:szCs w:val="20"/>
              </w:rPr>
            </w:pPr>
            <w:r>
              <w:rPr>
                <w:rFonts w:hint="eastAsia"/>
                <w:b/>
                <w:color w:val="000000"/>
                <w:sz w:val="20"/>
                <w:szCs w:val="20"/>
              </w:rPr>
              <w:t>北京市朝阳区北苑路168号1号楼16层1603</w:t>
            </w:r>
          </w:p>
        </w:tc>
        <w:tc>
          <w:tcPr>
            <w:tcW w:w="851" w:type="dxa"/>
            <w:gridSpan w:val="2"/>
            <w:noWrap w:val="0"/>
            <w:vAlign w:val="center"/>
          </w:tcPr>
          <w:p>
            <w:pPr>
              <w:rPr>
                <w:b/>
                <w:color w:val="000000"/>
                <w:sz w:val="20"/>
                <w:szCs w:val="20"/>
              </w:rPr>
            </w:pPr>
            <w:r>
              <w:rPr>
                <w:rFonts w:hint="eastAsia"/>
                <w:b/>
                <w:color w:val="000000"/>
                <w:sz w:val="20"/>
                <w:szCs w:val="20"/>
              </w:rPr>
              <w:t>邮编</w:t>
            </w:r>
          </w:p>
        </w:tc>
        <w:tc>
          <w:tcPr>
            <w:tcW w:w="1470" w:type="dxa"/>
            <w:noWrap w:val="0"/>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noWrap w:val="0"/>
            <w:vAlign w:val="center"/>
          </w:tcPr>
          <w:p>
            <w:pPr>
              <w:rPr>
                <w:b/>
                <w:color w:val="000000"/>
                <w:sz w:val="20"/>
                <w:szCs w:val="20"/>
              </w:rPr>
            </w:pPr>
            <w:r>
              <w:rPr>
                <w:rFonts w:hint="eastAsia"/>
                <w:b/>
                <w:color w:val="000000"/>
                <w:sz w:val="20"/>
                <w:szCs w:val="20"/>
              </w:rPr>
              <w:t>联系电话</w:t>
            </w:r>
          </w:p>
        </w:tc>
        <w:tc>
          <w:tcPr>
            <w:tcW w:w="1957" w:type="dxa"/>
            <w:gridSpan w:val="2"/>
            <w:noWrap w:val="0"/>
            <w:vAlign w:val="center"/>
          </w:tcPr>
          <w:p>
            <w:pPr>
              <w:rPr>
                <w:b/>
                <w:color w:val="000000"/>
                <w:sz w:val="20"/>
                <w:szCs w:val="20"/>
              </w:rPr>
            </w:pPr>
            <w:r>
              <w:rPr>
                <w:rFonts w:hint="eastAsia"/>
                <w:b/>
                <w:color w:val="000000"/>
                <w:sz w:val="20"/>
                <w:szCs w:val="20"/>
              </w:rPr>
              <w:t>010-51095332</w:t>
            </w:r>
          </w:p>
        </w:tc>
        <w:tc>
          <w:tcPr>
            <w:tcW w:w="1050" w:type="dxa"/>
            <w:gridSpan w:val="2"/>
            <w:noWrap w:val="0"/>
            <w:vAlign w:val="center"/>
          </w:tcPr>
          <w:p>
            <w:pPr>
              <w:rPr>
                <w:b/>
                <w:color w:val="000000"/>
                <w:sz w:val="20"/>
                <w:szCs w:val="20"/>
              </w:rPr>
            </w:pPr>
            <w:r>
              <w:rPr>
                <w:rFonts w:hint="eastAsia"/>
                <w:b/>
                <w:color w:val="000000"/>
                <w:sz w:val="20"/>
                <w:szCs w:val="20"/>
              </w:rPr>
              <w:t>传真</w:t>
            </w:r>
          </w:p>
        </w:tc>
        <w:tc>
          <w:tcPr>
            <w:tcW w:w="1501" w:type="dxa"/>
            <w:noWrap w:val="0"/>
            <w:vAlign w:val="center"/>
          </w:tcPr>
          <w:p>
            <w:pPr>
              <w:rPr>
                <w:b/>
                <w:color w:val="000000"/>
                <w:sz w:val="20"/>
                <w:szCs w:val="20"/>
              </w:rPr>
            </w:pPr>
            <w:r>
              <w:rPr>
                <w:b/>
                <w:color w:val="000000"/>
                <w:sz w:val="20"/>
                <w:szCs w:val="20"/>
              </w:rPr>
              <w:t>010</w:t>
            </w:r>
            <w:r>
              <w:rPr>
                <w:rFonts w:hint="eastAsia"/>
                <w:b/>
                <w:color w:val="000000"/>
                <w:sz w:val="20"/>
                <w:szCs w:val="20"/>
              </w:rPr>
              <w:t>-51095332</w:t>
            </w:r>
          </w:p>
        </w:tc>
        <w:tc>
          <w:tcPr>
            <w:tcW w:w="840" w:type="dxa"/>
            <w:noWrap w:val="0"/>
            <w:vAlign w:val="center"/>
          </w:tcPr>
          <w:p>
            <w:pPr>
              <w:rPr>
                <w:b/>
                <w:color w:val="000000"/>
                <w:sz w:val="20"/>
                <w:szCs w:val="20"/>
              </w:rPr>
            </w:pPr>
            <w:r>
              <w:rPr>
                <w:rFonts w:hint="eastAsia"/>
                <w:b/>
                <w:color w:val="000000"/>
                <w:sz w:val="20"/>
                <w:szCs w:val="20"/>
              </w:rPr>
              <w:t>邮箱</w:t>
            </w:r>
          </w:p>
        </w:tc>
        <w:tc>
          <w:tcPr>
            <w:tcW w:w="2333" w:type="dxa"/>
            <w:gridSpan w:val="4"/>
            <w:noWrap w:val="0"/>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noWrap w:val="0"/>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noWrap w:val="0"/>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noWrap w:val="0"/>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noWrap w:val="0"/>
            <w:vAlign w:val="center"/>
          </w:tcPr>
          <w:p>
            <w:pPr>
              <w:spacing w:line="240" w:lineRule="exact"/>
              <w:jc w:val="center"/>
              <w:rPr>
                <w:b/>
                <w:color w:val="000000"/>
                <w:sz w:val="20"/>
                <w:szCs w:val="20"/>
              </w:rPr>
            </w:pPr>
            <w:r>
              <w:rPr>
                <w:rFonts w:hint="eastAsia"/>
                <w:sz w:val="18"/>
                <w:szCs w:val="18"/>
              </w:rPr>
              <w:t>性别</w:t>
            </w:r>
          </w:p>
        </w:tc>
        <w:tc>
          <w:tcPr>
            <w:tcW w:w="3402" w:type="dxa"/>
            <w:gridSpan w:val="5"/>
            <w:noWrap w:val="0"/>
            <w:vAlign w:val="center"/>
          </w:tcPr>
          <w:p>
            <w:pPr>
              <w:spacing w:line="240" w:lineRule="exact"/>
              <w:jc w:val="center"/>
              <w:rPr>
                <w:b/>
                <w:color w:val="000000"/>
                <w:sz w:val="20"/>
                <w:szCs w:val="20"/>
              </w:rPr>
            </w:pPr>
            <w:r>
              <w:rPr>
                <w:rFonts w:hint="eastAsia"/>
                <w:sz w:val="18"/>
                <w:szCs w:val="18"/>
              </w:rPr>
              <w:t>注册资格</w:t>
            </w:r>
          </w:p>
        </w:tc>
        <w:tc>
          <w:tcPr>
            <w:tcW w:w="2179" w:type="dxa"/>
            <w:gridSpan w:val="2"/>
            <w:noWrap w:val="0"/>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noWrap w:val="0"/>
            <w:vAlign w:val="center"/>
          </w:tcPr>
          <w:p>
            <w:pPr>
              <w:spacing w:line="240" w:lineRule="exact"/>
              <w:jc w:val="center"/>
              <w:rPr>
                <w:b/>
                <w:color w:val="000000"/>
                <w:sz w:val="20"/>
                <w:szCs w:val="20"/>
              </w:rPr>
            </w:pPr>
            <w:r>
              <w:rPr>
                <w:b/>
                <w:color w:val="000000"/>
                <w:sz w:val="20"/>
                <w:szCs w:val="20"/>
              </w:rPr>
              <w:t>杨珍全</w:t>
            </w:r>
          </w:p>
        </w:tc>
        <w:tc>
          <w:tcPr>
            <w:tcW w:w="851" w:type="dxa"/>
            <w:gridSpan w:val="2"/>
            <w:noWrap w:val="0"/>
            <w:vAlign w:val="center"/>
          </w:tcPr>
          <w:p>
            <w:pPr>
              <w:spacing w:line="240" w:lineRule="exact"/>
              <w:jc w:val="center"/>
              <w:rPr>
                <w:sz w:val="18"/>
                <w:szCs w:val="18"/>
              </w:rPr>
            </w:pPr>
            <w:r>
              <w:rPr>
                <w:sz w:val="18"/>
                <w:szCs w:val="18"/>
              </w:rPr>
              <w:t>组长</w:t>
            </w:r>
          </w:p>
        </w:tc>
        <w:tc>
          <w:tcPr>
            <w:tcW w:w="1417" w:type="dxa"/>
            <w:gridSpan w:val="2"/>
            <w:noWrap w:val="0"/>
            <w:vAlign w:val="center"/>
          </w:tcPr>
          <w:p>
            <w:pPr>
              <w:spacing w:line="240" w:lineRule="exact"/>
              <w:jc w:val="center"/>
              <w:rPr>
                <w:b/>
                <w:color w:val="000000"/>
                <w:sz w:val="20"/>
                <w:szCs w:val="20"/>
              </w:rPr>
            </w:pPr>
            <w:r>
              <w:rPr>
                <w:b/>
                <w:color w:val="000000"/>
                <w:sz w:val="20"/>
                <w:szCs w:val="20"/>
              </w:rPr>
              <w:t>男</w:t>
            </w:r>
          </w:p>
        </w:tc>
        <w:tc>
          <w:tcPr>
            <w:tcW w:w="3402" w:type="dxa"/>
            <w:gridSpan w:val="5"/>
            <w:noWrap w:val="0"/>
            <w:vAlign w:val="center"/>
          </w:tcPr>
          <w:p>
            <w:pPr>
              <w:spacing w:line="240" w:lineRule="exact"/>
              <w:jc w:val="center"/>
              <w:rPr>
                <w:b/>
                <w:color w:val="000000"/>
                <w:sz w:val="20"/>
                <w:szCs w:val="20"/>
              </w:rPr>
            </w:pPr>
            <w:r>
              <w:rPr>
                <w:b/>
                <w:color w:val="000000"/>
                <w:sz w:val="20"/>
                <w:szCs w:val="20"/>
              </w:rPr>
              <w:t>审核员</w:t>
            </w:r>
          </w:p>
        </w:tc>
        <w:tc>
          <w:tcPr>
            <w:tcW w:w="2179" w:type="dxa"/>
            <w:gridSpan w:val="2"/>
            <w:noWrap w:val="0"/>
            <w:vAlign w:val="center"/>
          </w:tcPr>
          <w:p>
            <w:pPr>
              <w:spacing w:line="240" w:lineRule="exact"/>
              <w:jc w:val="center"/>
              <w:rPr>
                <w:b/>
                <w:color w:val="000000"/>
                <w:sz w:val="20"/>
                <w:szCs w:val="20"/>
              </w:rPr>
            </w:pPr>
            <w:r>
              <w:rPr>
                <w:b/>
                <w:color w:val="000000"/>
                <w:sz w:val="20"/>
                <w:szCs w:val="20"/>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noWrap w:val="0"/>
            <w:vAlign w:val="center"/>
          </w:tcPr>
          <w:p>
            <w:pPr>
              <w:spacing w:line="240" w:lineRule="exact"/>
              <w:jc w:val="center"/>
              <w:rPr>
                <w:b/>
                <w:color w:val="000000"/>
                <w:sz w:val="20"/>
                <w:szCs w:val="20"/>
              </w:rPr>
            </w:pPr>
            <w:r>
              <w:rPr>
                <w:b/>
                <w:color w:val="000000"/>
                <w:sz w:val="20"/>
                <w:szCs w:val="20"/>
              </w:rPr>
              <w:t>冉景洲</w:t>
            </w:r>
          </w:p>
        </w:tc>
        <w:tc>
          <w:tcPr>
            <w:tcW w:w="851" w:type="dxa"/>
            <w:gridSpan w:val="2"/>
            <w:noWrap w:val="0"/>
            <w:vAlign w:val="center"/>
          </w:tcPr>
          <w:p>
            <w:pPr>
              <w:spacing w:line="240" w:lineRule="exact"/>
              <w:jc w:val="center"/>
              <w:rPr>
                <w:sz w:val="18"/>
                <w:szCs w:val="18"/>
              </w:rPr>
            </w:pPr>
            <w:r>
              <w:rPr>
                <w:sz w:val="18"/>
                <w:szCs w:val="18"/>
              </w:rPr>
              <w:t>组员</w:t>
            </w:r>
          </w:p>
        </w:tc>
        <w:tc>
          <w:tcPr>
            <w:tcW w:w="1417" w:type="dxa"/>
            <w:gridSpan w:val="2"/>
            <w:noWrap w:val="0"/>
            <w:vAlign w:val="center"/>
          </w:tcPr>
          <w:p>
            <w:pPr>
              <w:spacing w:line="240" w:lineRule="exact"/>
              <w:jc w:val="center"/>
              <w:rPr>
                <w:b/>
                <w:color w:val="000000"/>
                <w:sz w:val="20"/>
                <w:szCs w:val="20"/>
              </w:rPr>
            </w:pPr>
            <w:r>
              <w:rPr>
                <w:b/>
                <w:color w:val="000000"/>
                <w:sz w:val="20"/>
                <w:szCs w:val="20"/>
              </w:rPr>
              <w:t>女</w:t>
            </w:r>
          </w:p>
        </w:tc>
        <w:tc>
          <w:tcPr>
            <w:tcW w:w="3402" w:type="dxa"/>
            <w:gridSpan w:val="5"/>
            <w:noWrap w:val="0"/>
            <w:vAlign w:val="center"/>
          </w:tcPr>
          <w:p>
            <w:pPr>
              <w:spacing w:line="240" w:lineRule="exact"/>
              <w:jc w:val="center"/>
              <w:rPr>
                <w:b/>
                <w:color w:val="000000"/>
                <w:sz w:val="20"/>
                <w:szCs w:val="20"/>
              </w:rPr>
            </w:pPr>
            <w:r>
              <w:rPr>
                <w:b/>
                <w:color w:val="000000"/>
                <w:sz w:val="20"/>
                <w:szCs w:val="20"/>
              </w:rPr>
              <w:t>审核员</w:t>
            </w:r>
          </w:p>
        </w:tc>
        <w:tc>
          <w:tcPr>
            <w:tcW w:w="2179" w:type="dxa"/>
            <w:gridSpan w:val="2"/>
            <w:noWrap w:val="0"/>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noWrap w:val="0"/>
            <w:vAlign w:val="center"/>
          </w:tcPr>
          <w:p>
            <w:pPr>
              <w:rPr>
                <w:b/>
                <w:color w:val="000000"/>
                <w:sz w:val="20"/>
                <w:szCs w:val="20"/>
              </w:rPr>
            </w:pPr>
          </w:p>
        </w:tc>
        <w:tc>
          <w:tcPr>
            <w:tcW w:w="851" w:type="dxa"/>
            <w:gridSpan w:val="2"/>
            <w:noWrap w:val="0"/>
            <w:vAlign w:val="center"/>
          </w:tcPr>
          <w:p>
            <w:pPr>
              <w:rPr>
                <w:b/>
                <w:color w:val="000000"/>
                <w:sz w:val="20"/>
                <w:szCs w:val="20"/>
              </w:rPr>
            </w:pPr>
          </w:p>
        </w:tc>
        <w:tc>
          <w:tcPr>
            <w:tcW w:w="1417" w:type="dxa"/>
            <w:gridSpan w:val="2"/>
            <w:noWrap w:val="0"/>
            <w:vAlign w:val="center"/>
          </w:tcPr>
          <w:p>
            <w:pPr>
              <w:rPr>
                <w:b/>
                <w:color w:val="000000"/>
                <w:sz w:val="20"/>
                <w:szCs w:val="20"/>
              </w:rPr>
            </w:pPr>
          </w:p>
        </w:tc>
        <w:tc>
          <w:tcPr>
            <w:tcW w:w="3402" w:type="dxa"/>
            <w:gridSpan w:val="5"/>
            <w:noWrap w:val="0"/>
            <w:vAlign w:val="center"/>
          </w:tcPr>
          <w:p>
            <w:pPr>
              <w:rPr>
                <w:b/>
                <w:color w:val="000000"/>
                <w:sz w:val="20"/>
                <w:szCs w:val="20"/>
              </w:rPr>
            </w:pPr>
          </w:p>
        </w:tc>
        <w:tc>
          <w:tcPr>
            <w:tcW w:w="2179" w:type="dxa"/>
            <w:gridSpan w:val="2"/>
            <w:noWrap w:val="0"/>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noWrap w:val="0"/>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noWrap w:val="0"/>
            <w:vAlign w:val="center"/>
          </w:tcPr>
          <w:p>
            <w:pPr>
              <w:rPr>
                <w:b/>
                <w:color w:val="000000"/>
                <w:sz w:val="20"/>
                <w:szCs w:val="20"/>
              </w:rPr>
            </w:pPr>
            <w:r>
              <w:rPr>
                <w:rFonts w:hint="eastAsia"/>
                <w:b/>
                <w:color w:val="000000"/>
                <w:sz w:val="20"/>
                <w:szCs w:val="20"/>
              </w:rPr>
              <w:t>姓名</w:t>
            </w:r>
          </w:p>
        </w:tc>
        <w:tc>
          <w:tcPr>
            <w:tcW w:w="851" w:type="dxa"/>
            <w:gridSpan w:val="2"/>
            <w:noWrap w:val="0"/>
            <w:vAlign w:val="center"/>
          </w:tcPr>
          <w:p>
            <w:pPr>
              <w:rPr>
                <w:b/>
                <w:color w:val="000000"/>
                <w:sz w:val="20"/>
                <w:szCs w:val="20"/>
              </w:rPr>
            </w:pPr>
            <w:r>
              <w:rPr>
                <w:rFonts w:hint="eastAsia"/>
                <w:b/>
                <w:color w:val="000000"/>
                <w:sz w:val="20"/>
                <w:szCs w:val="20"/>
              </w:rPr>
              <w:t>性别</w:t>
            </w:r>
          </w:p>
        </w:tc>
        <w:tc>
          <w:tcPr>
            <w:tcW w:w="1417" w:type="dxa"/>
            <w:gridSpan w:val="2"/>
            <w:noWrap w:val="0"/>
            <w:vAlign w:val="center"/>
          </w:tcPr>
          <w:p>
            <w:pPr>
              <w:rPr>
                <w:b/>
                <w:color w:val="000000"/>
                <w:sz w:val="20"/>
                <w:szCs w:val="20"/>
              </w:rPr>
            </w:pPr>
            <w:r>
              <w:rPr>
                <w:rFonts w:hint="eastAsia"/>
                <w:b/>
                <w:color w:val="000000"/>
                <w:sz w:val="20"/>
                <w:szCs w:val="20"/>
              </w:rPr>
              <w:t>角色</w:t>
            </w:r>
          </w:p>
        </w:tc>
        <w:tc>
          <w:tcPr>
            <w:tcW w:w="3402" w:type="dxa"/>
            <w:gridSpan w:val="5"/>
            <w:noWrap w:val="0"/>
            <w:vAlign w:val="center"/>
          </w:tcPr>
          <w:p>
            <w:pPr>
              <w:rPr>
                <w:b/>
                <w:color w:val="000000"/>
                <w:sz w:val="20"/>
                <w:szCs w:val="20"/>
              </w:rPr>
            </w:pPr>
            <w:r>
              <w:rPr>
                <w:rFonts w:hint="eastAsia"/>
                <w:b/>
                <w:color w:val="000000"/>
                <w:sz w:val="20"/>
                <w:szCs w:val="20"/>
              </w:rPr>
              <w:t>工作单位</w:t>
            </w:r>
          </w:p>
        </w:tc>
        <w:tc>
          <w:tcPr>
            <w:tcW w:w="2179" w:type="dxa"/>
            <w:gridSpan w:val="2"/>
            <w:noWrap w:val="0"/>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noWrap w:val="0"/>
            <w:vAlign w:val="center"/>
          </w:tcPr>
          <w:p>
            <w:pPr>
              <w:rPr>
                <w:b/>
                <w:color w:val="000000"/>
              </w:rPr>
            </w:pPr>
          </w:p>
        </w:tc>
        <w:tc>
          <w:tcPr>
            <w:tcW w:w="851" w:type="dxa"/>
            <w:gridSpan w:val="2"/>
            <w:noWrap w:val="0"/>
            <w:vAlign w:val="center"/>
          </w:tcPr>
          <w:p>
            <w:pPr>
              <w:rPr>
                <w:b/>
                <w:color w:val="000000"/>
              </w:rPr>
            </w:pPr>
          </w:p>
        </w:tc>
        <w:tc>
          <w:tcPr>
            <w:tcW w:w="1417" w:type="dxa"/>
            <w:gridSpan w:val="2"/>
            <w:noWrap w:val="0"/>
            <w:vAlign w:val="center"/>
          </w:tcPr>
          <w:p>
            <w:pPr>
              <w:rPr>
                <w:b/>
                <w:color w:val="000000"/>
              </w:rPr>
            </w:pPr>
          </w:p>
        </w:tc>
        <w:tc>
          <w:tcPr>
            <w:tcW w:w="3402" w:type="dxa"/>
            <w:gridSpan w:val="5"/>
            <w:noWrap w:val="0"/>
            <w:vAlign w:val="center"/>
          </w:tcPr>
          <w:p>
            <w:pPr>
              <w:rPr>
                <w:b/>
                <w:color w:val="000000"/>
              </w:rPr>
            </w:pPr>
          </w:p>
        </w:tc>
        <w:tc>
          <w:tcPr>
            <w:tcW w:w="2179" w:type="dxa"/>
            <w:gridSpan w:val="2"/>
            <w:noWrap w:val="0"/>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noWrap w:val="0"/>
            <w:vAlign w:val="center"/>
          </w:tcPr>
          <w:p>
            <w:pPr>
              <w:rPr>
                <w:b/>
                <w:color w:val="000000"/>
              </w:rPr>
            </w:pPr>
          </w:p>
        </w:tc>
        <w:tc>
          <w:tcPr>
            <w:tcW w:w="851" w:type="dxa"/>
            <w:gridSpan w:val="2"/>
            <w:noWrap w:val="0"/>
            <w:vAlign w:val="center"/>
          </w:tcPr>
          <w:p>
            <w:pPr>
              <w:rPr>
                <w:b/>
                <w:color w:val="000000"/>
              </w:rPr>
            </w:pPr>
          </w:p>
        </w:tc>
        <w:tc>
          <w:tcPr>
            <w:tcW w:w="1417" w:type="dxa"/>
            <w:gridSpan w:val="2"/>
            <w:noWrap w:val="0"/>
            <w:vAlign w:val="center"/>
          </w:tcPr>
          <w:p>
            <w:pPr>
              <w:rPr>
                <w:b/>
                <w:color w:val="000000"/>
              </w:rPr>
            </w:pPr>
          </w:p>
        </w:tc>
        <w:tc>
          <w:tcPr>
            <w:tcW w:w="3402" w:type="dxa"/>
            <w:gridSpan w:val="5"/>
            <w:noWrap w:val="0"/>
            <w:vAlign w:val="center"/>
          </w:tcPr>
          <w:p>
            <w:pPr>
              <w:rPr>
                <w:b/>
                <w:color w:val="000000"/>
              </w:rPr>
            </w:pPr>
          </w:p>
        </w:tc>
        <w:tc>
          <w:tcPr>
            <w:tcW w:w="2179" w:type="dxa"/>
            <w:gridSpan w:val="2"/>
            <w:noWrap w:val="0"/>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noWrap w:val="0"/>
            <w:vAlign w:val="top"/>
          </w:tcPr>
          <w:p>
            <w:pPr>
              <w:spacing w:line="280" w:lineRule="exact"/>
              <w:rPr>
                <w:rFonts w:ascii="宋体"/>
                <w:b/>
                <w:color w:val="000000"/>
                <w:sz w:val="20"/>
                <w:szCs w:val="20"/>
              </w:rPr>
            </w:pPr>
            <w:bookmarkStart w:id="9" w:name="组织名称Add2"/>
            <w:r>
              <w:rPr>
                <w:rFonts w:ascii="宋体"/>
                <w:b/>
                <w:color w:val="000000"/>
                <w:sz w:val="20"/>
                <w:szCs w:val="20"/>
              </w:rPr>
              <w:t>成都锦兰货运有限公司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noWrap w:val="0"/>
            <w:vAlign w:val="top"/>
          </w:tcPr>
          <w:p>
            <w:pPr>
              <w:spacing w:line="280" w:lineRule="exact"/>
              <w:rPr>
                <w:rFonts w:ascii="宋体"/>
                <w:b/>
                <w:color w:val="000000"/>
                <w:sz w:val="20"/>
                <w:szCs w:val="20"/>
              </w:rPr>
            </w:pPr>
            <w:bookmarkStart w:id="10" w:name="注册地址"/>
            <w:r>
              <w:rPr>
                <w:rFonts w:ascii="宋体"/>
                <w:b/>
                <w:color w:val="000000"/>
                <w:sz w:val="20"/>
                <w:szCs w:val="20"/>
              </w:rPr>
              <w:t>成都市金牛区兴川路289号1栋2层213号</w:t>
            </w:r>
            <w:bookmarkEnd w:id="10"/>
          </w:p>
        </w:tc>
        <w:tc>
          <w:tcPr>
            <w:tcW w:w="1242" w:type="dxa"/>
            <w:vMerge w:val="restart"/>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noWrap w:val="0"/>
            <w:vAlign w:val="top"/>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noWrap w:val="0"/>
            <w:vAlign w:val="top"/>
          </w:tcPr>
          <w:p>
            <w:pPr>
              <w:spacing w:line="280" w:lineRule="exact"/>
              <w:rPr>
                <w:rFonts w:ascii="宋体"/>
                <w:b/>
                <w:color w:val="000000"/>
                <w:sz w:val="20"/>
                <w:szCs w:val="20"/>
              </w:rPr>
            </w:pPr>
            <w:bookmarkStart w:id="12" w:name="经营地址"/>
            <w:bookmarkEnd w:id="12"/>
          </w:p>
        </w:tc>
        <w:tc>
          <w:tcPr>
            <w:tcW w:w="1242" w:type="dxa"/>
            <w:vMerge w:val="continue"/>
            <w:noWrap w:val="0"/>
            <w:vAlign w:val="center"/>
          </w:tcPr>
          <w:p>
            <w:pPr>
              <w:spacing w:line="280" w:lineRule="exact"/>
              <w:jc w:val="center"/>
              <w:rPr>
                <w:rFonts w:ascii="宋体"/>
                <w:b/>
                <w:color w:val="000000"/>
                <w:sz w:val="20"/>
                <w:szCs w:val="20"/>
              </w:rPr>
            </w:pPr>
          </w:p>
        </w:tc>
        <w:tc>
          <w:tcPr>
            <w:tcW w:w="1558" w:type="dxa"/>
            <w:noWrap w:val="0"/>
            <w:vAlign w:val="top"/>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noWrap w:val="0"/>
            <w:vAlign w:val="top"/>
          </w:tcPr>
          <w:p>
            <w:pPr>
              <w:spacing w:line="280" w:lineRule="exact"/>
              <w:rPr>
                <w:rFonts w:ascii="宋体"/>
                <w:b/>
                <w:color w:val="000000"/>
                <w:sz w:val="20"/>
                <w:szCs w:val="20"/>
              </w:rPr>
            </w:pPr>
            <w:bookmarkStart w:id="14" w:name="生产地址Add1"/>
            <w:r>
              <w:rPr>
                <w:rFonts w:ascii="宋体"/>
                <w:b/>
                <w:color w:val="000000"/>
                <w:sz w:val="20"/>
                <w:szCs w:val="20"/>
              </w:rPr>
              <w:t>四川省成都市新都区工业大道东段976号</w:t>
            </w:r>
            <w:bookmarkEnd w:id="14"/>
          </w:p>
        </w:tc>
        <w:tc>
          <w:tcPr>
            <w:tcW w:w="1242" w:type="dxa"/>
            <w:vMerge w:val="continue"/>
            <w:noWrap w:val="0"/>
            <w:vAlign w:val="center"/>
          </w:tcPr>
          <w:p>
            <w:pPr>
              <w:spacing w:line="280" w:lineRule="exact"/>
              <w:jc w:val="center"/>
              <w:rPr>
                <w:rFonts w:ascii="宋体"/>
                <w:b/>
                <w:color w:val="000000"/>
                <w:sz w:val="20"/>
                <w:szCs w:val="20"/>
              </w:rPr>
            </w:pPr>
          </w:p>
        </w:tc>
        <w:tc>
          <w:tcPr>
            <w:tcW w:w="1558" w:type="dxa"/>
            <w:noWrap w:val="0"/>
            <w:vAlign w:val="top"/>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noWrap w:val="0"/>
            <w:vAlign w:val="top"/>
          </w:tcPr>
          <w:p>
            <w:pPr>
              <w:spacing w:line="280" w:lineRule="exact"/>
              <w:rPr>
                <w:rFonts w:ascii="宋体"/>
                <w:b/>
                <w:color w:val="000000"/>
                <w:sz w:val="20"/>
                <w:szCs w:val="20"/>
              </w:rPr>
            </w:pPr>
            <w:bookmarkStart w:id="16" w:name="联系人Add1"/>
            <w:r>
              <w:rPr>
                <w:rFonts w:ascii="宋体"/>
                <w:b/>
                <w:color w:val="000000"/>
                <w:sz w:val="20"/>
                <w:szCs w:val="20"/>
              </w:rPr>
              <w:t>马学洋</w:t>
            </w:r>
            <w:bookmarkEnd w:id="16"/>
          </w:p>
        </w:tc>
        <w:tc>
          <w:tcPr>
            <w:tcW w:w="1463"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noWrap w:val="0"/>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18231875050</w:t>
            </w:r>
            <w:bookmarkEnd w:id="17"/>
          </w:p>
        </w:tc>
        <w:tc>
          <w:tcPr>
            <w:tcW w:w="1242"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noWrap w:val="0"/>
            <w:vAlign w:val="top"/>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noWrap w:val="0"/>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noWrap w:val="0"/>
            <w:vAlign w:val="top"/>
          </w:tcPr>
          <w:p>
            <w:pPr>
              <w:rPr>
                <w:rFonts w:ascii="宋体"/>
                <w:b/>
                <w:color w:val="000000"/>
                <w:sz w:val="20"/>
                <w:szCs w:val="20"/>
              </w:rPr>
            </w:pPr>
            <w:bookmarkStart w:id="19" w:name="法人"/>
            <w:r>
              <w:rPr>
                <w:rFonts w:ascii="宋体"/>
                <w:b/>
                <w:color w:val="000000"/>
                <w:sz w:val="20"/>
                <w:szCs w:val="20"/>
              </w:rPr>
              <w:t>郝春光</w:t>
            </w:r>
            <w:bookmarkEnd w:id="19"/>
          </w:p>
        </w:tc>
        <w:tc>
          <w:tcPr>
            <w:tcW w:w="1463" w:type="dxa"/>
            <w:noWrap w:val="0"/>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noWrap w:val="0"/>
            <w:vAlign w:val="top"/>
          </w:tcPr>
          <w:p>
            <w:pPr>
              <w:rPr>
                <w:rFonts w:ascii="宋体"/>
                <w:b/>
                <w:color w:val="000000"/>
                <w:sz w:val="20"/>
                <w:szCs w:val="20"/>
              </w:rPr>
            </w:pPr>
            <w:bookmarkStart w:id="20" w:name="管理者代表"/>
            <w:r>
              <w:rPr>
                <w:rFonts w:ascii="宋体"/>
                <w:b/>
                <w:color w:val="000000"/>
                <w:sz w:val="20"/>
                <w:szCs w:val="20"/>
              </w:rPr>
              <w:t>何锦秀</w:t>
            </w:r>
            <w:bookmarkEnd w:id="20"/>
          </w:p>
        </w:tc>
        <w:tc>
          <w:tcPr>
            <w:tcW w:w="1242" w:type="dxa"/>
            <w:noWrap w:val="0"/>
            <w:vAlign w:val="top"/>
          </w:tcPr>
          <w:p>
            <w:pPr>
              <w:jc w:val="center"/>
              <w:rPr>
                <w:rFonts w:ascii="宋体"/>
                <w:b/>
                <w:color w:val="000000"/>
                <w:sz w:val="20"/>
                <w:szCs w:val="20"/>
              </w:rPr>
            </w:pPr>
            <w:r>
              <w:rPr>
                <w:rFonts w:hint="eastAsia" w:ascii="宋体"/>
                <w:b/>
                <w:color w:val="000000"/>
                <w:sz w:val="20"/>
                <w:szCs w:val="20"/>
              </w:rPr>
              <w:t>邮箱</w:t>
            </w:r>
          </w:p>
        </w:tc>
        <w:tc>
          <w:tcPr>
            <w:tcW w:w="1558" w:type="dxa"/>
            <w:noWrap w:val="0"/>
            <w:vAlign w:val="top"/>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noWrap w:val="0"/>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noWrap w:val="0"/>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noWrap w:val="0"/>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许可范围内的普通货运</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noWrap w:val="0"/>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noWrap w:val="0"/>
            <w:vAlign w:val="center"/>
          </w:tcPr>
          <w:p>
            <w:pPr>
              <w:spacing w:line="280" w:lineRule="exact"/>
              <w:rPr>
                <w:rFonts w:ascii="宋体"/>
                <w:b/>
                <w:color w:val="000000"/>
                <w:sz w:val="20"/>
                <w:szCs w:val="20"/>
              </w:rPr>
            </w:pPr>
            <w:bookmarkStart w:id="23" w:name="专业代码"/>
            <w:r>
              <w:rPr>
                <w:rFonts w:ascii="宋体"/>
                <w:b/>
                <w:color w:val="000000"/>
                <w:sz w:val="20"/>
                <w:szCs w:val="20"/>
              </w:rPr>
              <w:t>31.04.01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noWrap w:val="0"/>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noWrap w:val="0"/>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管理手册、程序文件、规章制度等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行政部、运营部、市场部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highlight w:val="none"/>
        </w:rPr>
        <w:t>办公场所、</w:t>
      </w:r>
      <w:r>
        <w:rPr>
          <w:rFonts w:hint="eastAsia" w:ascii="宋体" w:hAnsi="宋体"/>
          <w:b/>
          <w:color w:val="000000"/>
          <w:sz w:val="20"/>
          <w:szCs w:val="20"/>
          <w:highlight w:val="none"/>
          <w:lang w:val="en-US" w:eastAsia="zh-CN"/>
        </w:rPr>
        <w:t>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noWrap w:val="0"/>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noWrap w:val="0"/>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noWrap w:val="0"/>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noWrap w:val="0"/>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noWrap w:val="0"/>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noWrap w:val="0"/>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noWrap w:val="0"/>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noWrap w:val="0"/>
            <w:vAlign w:val="top"/>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noWrap w:val="0"/>
            <w:vAlign w:val="top"/>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noWrap w:val="0"/>
            <w:vAlign w:val="top"/>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noWrap w:val="0"/>
            <w:vAlign w:val="top"/>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noWrap w:val="0"/>
            <w:vAlign w:val="top"/>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noWrap w:val="0"/>
            <w:vAlign w:val="top"/>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noWrap w:val="0"/>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center"/>
          </w:tcPr>
          <w:p>
            <w:pPr>
              <w:ind w:left="168" w:leftChars="80"/>
              <w:rPr>
                <w:rFonts w:ascii="宋体"/>
                <w:color w:val="000000"/>
                <w:spacing w:val="-10"/>
                <w:sz w:val="20"/>
                <w:szCs w:val="20"/>
              </w:rPr>
            </w:pPr>
          </w:p>
        </w:tc>
        <w:tc>
          <w:tcPr>
            <w:tcW w:w="5944" w:type="dxa"/>
            <w:gridSpan w:val="3"/>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top"/>
          </w:tcPr>
          <w:p>
            <w:pPr>
              <w:ind w:left="168" w:leftChars="80"/>
              <w:rPr>
                <w:rFonts w:ascii="宋体"/>
                <w:color w:val="000000"/>
                <w:spacing w:val="-10"/>
                <w:sz w:val="20"/>
                <w:szCs w:val="20"/>
              </w:rPr>
            </w:pPr>
          </w:p>
        </w:tc>
        <w:tc>
          <w:tcPr>
            <w:tcW w:w="5944" w:type="dxa"/>
            <w:gridSpan w:val="3"/>
            <w:noWrap w:val="0"/>
            <w:vAlign w:val="top"/>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目标是否合理</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b/>
                <w:color w:val="000000"/>
                <w:sz w:val="20"/>
                <w:szCs w:val="20"/>
              </w:rPr>
            </w:pPr>
          </w:p>
        </w:tc>
        <w:tc>
          <w:tcPr>
            <w:tcW w:w="5954" w:type="dxa"/>
            <w:gridSpan w:val="4"/>
            <w:noWrap w:val="0"/>
            <w:vAlign w:val="top"/>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noWrap w:val="0"/>
            <w:vAlign w:val="top"/>
          </w:tcPr>
          <w:p>
            <w:pPr>
              <w:rPr>
                <w:rFonts w:ascii="宋体"/>
                <w:b/>
                <w:color w:val="000000"/>
                <w:sz w:val="20"/>
                <w:szCs w:val="20"/>
              </w:rPr>
            </w:pPr>
          </w:p>
        </w:tc>
        <w:tc>
          <w:tcPr>
            <w:tcW w:w="1308" w:type="dxa"/>
            <w:gridSpan w:val="2"/>
            <w:noWrap w:val="0"/>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noWrap w:val="0"/>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noWrap w:val="0"/>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noWrap w:val="0"/>
            <w:vAlign w:val="center"/>
          </w:tcPr>
          <w:p>
            <w:pPr>
              <w:ind w:left="-4" w:leftChars="-21" w:hanging="40" w:hangingChars="20"/>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noWrap w:val="0"/>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noWrap w:val="0"/>
            <w:vAlign w:val="center"/>
          </w:tcPr>
          <w:p>
            <w:pPr>
              <w:ind w:left="185" w:leftChars="88"/>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noWrap w:val="0"/>
            <w:vAlign w:val="center"/>
          </w:tcPr>
          <w:p>
            <w:pPr>
              <w:ind w:left="185" w:leftChars="88"/>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noWrap w:val="0"/>
            <w:vAlign w:val="top"/>
          </w:tcPr>
          <w:p>
            <w:pPr>
              <w:rPr>
                <w:rFonts w:ascii="宋体"/>
                <w:b/>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noWrap w:val="0"/>
            <w:vAlign w:val="top"/>
          </w:tcPr>
          <w:p>
            <w:pPr>
              <w:rPr>
                <w:rFonts w:ascii="宋体"/>
                <w:b/>
                <w:color w:val="000000"/>
                <w:spacing w:val="-10"/>
                <w:sz w:val="20"/>
                <w:szCs w:val="20"/>
              </w:rPr>
            </w:pPr>
          </w:p>
        </w:tc>
        <w:tc>
          <w:tcPr>
            <w:tcW w:w="1308" w:type="dxa"/>
            <w:gridSpan w:val="2"/>
            <w:noWrap w:val="0"/>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noWrap w:val="0"/>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noWrap w:val="0"/>
            <w:vAlign w:val="top"/>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977" w:type="dxa"/>
            <w:gridSpan w:val="2"/>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b/>
                <w:bCs/>
                <w:szCs w:val="21"/>
                <w:lang w:val="en-US" w:eastAsia="zh-CN"/>
              </w:rPr>
              <w:t xml:space="preserve">许可范围内的普通货运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noWrap w:val="0"/>
            <w:vAlign w:val="top"/>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ascii="宋体" w:hAnsi="宋体"/>
                <w:b/>
                <w:bCs/>
                <w:szCs w:val="21"/>
                <w:lang w:val="en-US" w:eastAsia="zh-CN"/>
              </w:rPr>
              <w:t>行政部、运营部、市场部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bCs/>
                <w:szCs w:val="21"/>
                <w:lang w:val="en-US" w:eastAsia="zh-CN"/>
              </w:rPr>
              <w:t>行政部</w:t>
            </w:r>
          </w:p>
          <w:p>
            <w:pPr>
              <w:tabs>
                <w:tab w:val="left" w:pos="360"/>
              </w:tabs>
              <w:spacing w:before="156" w:beforeLines="50"/>
              <w:ind w:left="357" w:hanging="357"/>
              <w:rPr>
                <w:rFonts w:ascii="宋体"/>
                <w:b/>
                <w:color w:val="FF0000"/>
                <w:sz w:val="20"/>
                <w:szCs w:val="20"/>
              </w:rPr>
            </w:pPr>
            <w:r>
              <w:rPr>
                <w:rFonts w:hint="eastAsia" w:ascii="宋体" w:hAnsi="宋体"/>
                <w:b/>
                <w:color w:val="000000"/>
                <w:sz w:val="20"/>
                <w:szCs w:val="20"/>
              </w:rPr>
              <w:t>质量管理部门：</w:t>
            </w:r>
            <w:r>
              <w:rPr>
                <w:rFonts w:hint="eastAsia" w:ascii="宋体" w:hAnsi="宋体"/>
                <w:b/>
                <w:bCs/>
                <w:szCs w:val="21"/>
                <w:lang w:val="en-US" w:eastAsia="zh-CN"/>
              </w:rPr>
              <w:t>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noWrap w:val="0"/>
            <w:vAlign w:val="top"/>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noWrap w:val="0"/>
            <w:vAlign w:val="top"/>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noWrap w:val="0"/>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noWrap w:val="0"/>
            <w:vAlign w:val="top"/>
          </w:tcPr>
          <w:p>
            <w:pPr>
              <w:tabs>
                <w:tab w:val="left" w:pos="360"/>
              </w:tabs>
              <w:ind w:left="360" w:hanging="360"/>
              <w:rPr>
                <w:rFonts w:ascii="宋体"/>
                <w:color w:val="000000"/>
                <w:sz w:val="20"/>
                <w:szCs w:val="20"/>
              </w:rPr>
            </w:pPr>
          </w:p>
        </w:tc>
        <w:tc>
          <w:tcPr>
            <w:tcW w:w="7371" w:type="dxa"/>
            <w:gridSpan w:val="2"/>
            <w:noWrap w:val="0"/>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noWrap w:val="0"/>
            <w:vAlign w:val="top"/>
          </w:tcPr>
          <w:p>
            <w:pPr>
              <w:tabs>
                <w:tab w:val="left" w:pos="360"/>
              </w:tabs>
              <w:ind w:left="360" w:hanging="360"/>
              <w:rPr>
                <w:rFonts w:ascii="宋体"/>
                <w:color w:val="000000"/>
                <w:sz w:val="20"/>
                <w:szCs w:val="20"/>
              </w:rPr>
            </w:pPr>
          </w:p>
        </w:tc>
        <w:tc>
          <w:tcPr>
            <w:tcW w:w="7371" w:type="dxa"/>
            <w:gridSpan w:val="2"/>
            <w:noWrap w:val="0"/>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noWrap w:val="0"/>
            <w:vAlign w:val="top"/>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noWrap w:val="0"/>
            <w:vAlign w:val="top"/>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noWrap w:val="0"/>
            <w:vAlign w:val="top"/>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四川省成都市新都区工业大道东段976号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noWrap w:val="0"/>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noWrap w:val="0"/>
            <w:vAlign w:val="top"/>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noWrap w:val="0"/>
            <w:vAlign w:val="top"/>
          </w:tcPr>
          <w:p>
            <w:pPr>
              <w:rPr>
                <w:rFonts w:ascii="宋体"/>
                <w:color w:val="00000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041" w:type="dxa"/>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noWrap w:val="0"/>
            <w:vAlign w:val="top"/>
          </w:tcPr>
          <w:p>
            <w:pPr>
              <w:rPr>
                <w:rFonts w:ascii="宋体"/>
                <w:color w:val="000000"/>
                <w:spacing w:val="-10"/>
                <w:sz w:val="20"/>
                <w:szCs w:val="20"/>
              </w:rPr>
            </w:pPr>
          </w:p>
        </w:tc>
        <w:tc>
          <w:tcPr>
            <w:tcW w:w="5147" w:type="dxa"/>
            <w:noWrap w:val="0"/>
            <w:vAlign w:val="top"/>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b/>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ind w:left="361" w:leftChars="172" w:firstLine="1194" w:firstLineChars="597"/>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noWrap w:val="0"/>
            <w:vAlign w:val="top"/>
          </w:tcPr>
          <w:p>
            <w:pPr>
              <w:ind w:left="361" w:leftChars="172" w:firstLine="1194" w:firstLineChars="597"/>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top"/>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《中华人民共和国道路交通安全法》、《中华人民共和国道路交通安全法实施条例》、《中华人民共和国道路运输条例》、《汽车租赁服务规范》</w:t>
            </w:r>
            <w:r>
              <w:rPr>
                <w:rFonts w:hint="eastAsia" w:ascii="宋体" w:hAnsi="宋体" w:cs="宋体"/>
                <w:sz w:val="21"/>
                <w:szCs w:val="21"/>
                <w:shd w:val="clear" w:color="auto" w:fill="FFFFFF"/>
              </w:rPr>
              <w:t>等</w:t>
            </w:r>
            <w:r>
              <w:rPr>
                <w:rFonts w:hint="eastAsia" w:ascii="宋体" w:hAnsi="宋体" w:cs="宋体"/>
                <w:szCs w:val="21"/>
              </w:rPr>
              <w:t>。</w:t>
            </w:r>
            <w:r>
              <w:rPr>
                <w:rFonts w:hint="eastAsia" w:ascii="宋体" w:hAnsi="宋体" w:cs="宋体"/>
                <w:szCs w:val="21"/>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rPr>
                <w:rFonts w:ascii="宋体"/>
                <w:color w:val="000000"/>
                <w:spacing w:val="-1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noWrap w:val="0"/>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noWrap w:val="0"/>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noWrap w:val="0"/>
            <w:vAlign w:val="top"/>
          </w:tcPr>
          <w:p>
            <w:pPr>
              <w:jc w:val="left"/>
              <w:rPr>
                <w:rFonts w:ascii="宋体" w:hAnsi="宋体"/>
                <w:szCs w:val="21"/>
              </w:rPr>
            </w:pPr>
            <w:r>
              <w:rPr>
                <w:rFonts w:hint="eastAsia" w:ascii="宋体" w:hAnsi="宋体" w:cs="Arial"/>
                <w:szCs w:val="21"/>
              </w:rPr>
              <w:t>普通货运服务流程：</w:t>
            </w:r>
          </w:p>
          <w:p>
            <w:pPr>
              <w:spacing w:line="360" w:lineRule="auto"/>
              <w:rPr>
                <w:rFonts w:ascii="宋体"/>
                <w:color w:val="000000"/>
                <w:sz w:val="20"/>
                <w:szCs w:val="20"/>
              </w:rPr>
            </w:pPr>
            <w:r>
              <w:rPr>
                <w:rFonts w:hint="eastAsia" w:ascii="宋体" w:hAnsi="宋体" w:eastAsia="宋体"/>
              </w:rPr>
              <w:t>接客户发货单→核对数量（体积）→安排线路车辆→运输途中监控→收货方签收→回单核对→与客户对帐→收货运款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noWrap w:val="0"/>
            <w:vAlign w:val="top"/>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noWrap w:val="0"/>
            <w:vAlign w:val="top"/>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noWrap w:val="0"/>
            <w:vAlign w:val="top"/>
          </w:tcPr>
          <w:p>
            <w:pPr>
              <w:rPr>
                <w:rFonts w:ascii="宋体"/>
                <w:color w:val="000000"/>
                <w:sz w:val="20"/>
                <w:szCs w:val="20"/>
              </w:rPr>
            </w:pPr>
          </w:p>
        </w:tc>
        <w:tc>
          <w:tcPr>
            <w:tcW w:w="7427" w:type="dxa"/>
            <w:noWrap w:val="0"/>
            <w:vAlign w:val="top"/>
          </w:tcPr>
          <w:p>
            <w:pPr>
              <w:rPr>
                <w:rFonts w:ascii="宋体"/>
                <w:color w:val="000000"/>
                <w:sz w:val="20"/>
                <w:szCs w:val="20"/>
              </w:rPr>
            </w:pPr>
            <w:r>
              <w:rPr>
                <w:rFonts w:hint="eastAsia" w:ascii="宋体" w:hAnsi="宋体"/>
                <w:color w:val="000000"/>
                <w:sz w:val="20"/>
                <w:szCs w:val="20"/>
              </w:rPr>
              <w:t>针对关键过程建立</w:t>
            </w:r>
            <w:r>
              <w:rPr>
                <w:rFonts w:hint="eastAsia" w:ascii="宋体" w:hAnsi="宋体"/>
                <w:color w:val="000000"/>
                <w:sz w:val="20"/>
                <w:szCs w:val="20"/>
                <w:highlight w:val="none"/>
              </w:rPr>
              <w:t>的控制文件有：</w:t>
            </w:r>
            <w:r>
              <w:rPr>
                <w:rFonts w:hint="eastAsia" w:ascii="宋体" w:hAnsi="宋体" w:cs="Times New Roman"/>
                <w:color w:val="auto"/>
                <w:sz w:val="20"/>
                <w:szCs w:val="20"/>
                <w:highlight w:val="none"/>
              </w:rPr>
              <w:t>物流服务过程控制程序</w:t>
            </w:r>
            <w:r>
              <w:rPr>
                <w:rFonts w:hint="eastAsia" w:ascii="宋体" w:hAnsi="宋体"/>
                <w:color w:val="000000"/>
                <w:sz w:val="20"/>
                <w:szCs w:val="20"/>
                <w:highlight w:val="none"/>
                <w:lang w:eastAsia="zh-CN"/>
              </w:rPr>
              <w:t>、不合格输出</w:t>
            </w:r>
            <w:r>
              <w:rPr>
                <w:rFonts w:hint="eastAsia" w:ascii="宋体" w:hAnsi="宋体"/>
                <w:color w:val="000000"/>
                <w:sz w:val="20"/>
                <w:szCs w:val="20"/>
                <w:highlight w:val="none"/>
              </w:rPr>
              <w:t>程序</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顾客</w:t>
            </w:r>
            <w:r>
              <w:rPr>
                <w:rFonts w:hint="eastAsia" w:ascii="宋体" w:hAnsi="宋体"/>
                <w:color w:val="000000"/>
                <w:sz w:val="20"/>
                <w:szCs w:val="20"/>
                <w:highlight w:val="none"/>
                <w:lang w:eastAsia="zh-CN"/>
              </w:rPr>
              <w:t>满意度调查</w:t>
            </w:r>
            <w:r>
              <w:rPr>
                <w:rFonts w:hint="eastAsia" w:ascii="宋体" w:hAnsi="宋体"/>
                <w:color w:val="000000"/>
                <w:sz w:val="20"/>
                <w:szCs w:val="20"/>
                <w:highlight w:val="none"/>
              </w:rPr>
              <w:t>控制程序等</w:t>
            </w:r>
            <w:r>
              <w:rPr>
                <w:rFonts w:hint="eastAsia" w:ascii="宋体" w:hAnsi="宋体"/>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noWrap w:val="0"/>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eastAsia="宋体"/>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pacing w:val="-10"/>
                <w:sz w:val="20"/>
                <w:szCs w:val="20"/>
              </w:rPr>
            </w:pPr>
          </w:p>
        </w:tc>
        <w:tc>
          <w:tcPr>
            <w:tcW w:w="7427" w:type="dxa"/>
            <w:noWrap w:val="0"/>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noWrap w:val="0"/>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s="宋体"/>
                <w:color w:val="000000"/>
                <w:sz w:val="21"/>
                <w:szCs w:val="21"/>
                <w:lang w:eastAsia="zh-CN"/>
              </w:rPr>
              <w:t>部分线路货物运输、</w:t>
            </w:r>
            <w:r>
              <w:rPr>
                <w:rFonts w:hint="eastAsia" w:ascii="宋体" w:hAnsi="宋体"/>
                <w:sz w:val="21"/>
                <w:szCs w:val="21"/>
                <w:lang w:eastAsia="zh-CN"/>
              </w:rPr>
              <w:t>货车维修外包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pacing w:val="-10"/>
                <w:sz w:val="20"/>
                <w:szCs w:val="20"/>
              </w:rPr>
            </w:pPr>
          </w:p>
        </w:tc>
        <w:tc>
          <w:tcPr>
            <w:tcW w:w="7427" w:type="dxa"/>
            <w:noWrap w:val="0"/>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noWrap w:val="0"/>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auto"/>
                <w:szCs w:val="24"/>
                <w:lang w:eastAsia="zh-CN"/>
              </w:rPr>
              <w:t>汽车、叉车</w:t>
            </w:r>
            <w:r>
              <w:rPr>
                <w:rFonts w:hint="eastAsia" w:ascii="宋体" w:hAnsi="宋体" w:eastAsia="宋体" w:cs="宋体"/>
                <w:color w:val="auto"/>
                <w:szCs w:val="24"/>
                <w:lang w:eastAsia="zh-CN"/>
              </w:rPr>
              <w:t>和</w:t>
            </w:r>
            <w:r>
              <w:rPr>
                <w:rFonts w:hint="eastAsia" w:ascii="宋体" w:hAnsi="宋体" w:cs="宋体"/>
                <w:color w:val="auto"/>
                <w:szCs w:val="24"/>
                <w:lang w:eastAsia="zh-CN"/>
              </w:rPr>
              <w:t>仓储库房</w:t>
            </w:r>
            <w:r>
              <w:rPr>
                <w:rFonts w:hint="eastAsia" w:ascii="宋体" w:hAnsi="宋体"/>
                <w:color w:val="auto"/>
                <w:szCs w:val="21"/>
              </w:rPr>
              <w:t>、电脑</w:t>
            </w:r>
            <w:r>
              <w:rPr>
                <w:rFonts w:hint="eastAsia" w:ascii="宋体" w:hAnsi="宋体"/>
                <w:color w:val="auto"/>
                <w:szCs w:val="21"/>
                <w:lang w:eastAsia="zh-CN"/>
              </w:rPr>
              <w:t>及</w:t>
            </w:r>
            <w:r>
              <w:rPr>
                <w:rFonts w:hint="eastAsia" w:ascii="宋体" w:hAnsi="宋体"/>
                <w:color w:val="auto"/>
                <w:szCs w:val="21"/>
              </w:rPr>
              <w:t>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noWrap w:val="0"/>
            <w:vAlign w:val="top"/>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highlight w:val="none"/>
              </w:rPr>
              <w:t>：</w:t>
            </w:r>
            <w:r>
              <w:rPr>
                <w:rFonts w:hint="eastAsia" w:ascii="宋体"/>
                <w:color w:val="000000"/>
                <w:sz w:val="20"/>
                <w:szCs w:val="20"/>
                <w:highlight w:val="none"/>
                <w:lang w:val="en-US" w:eastAsia="zh-CN"/>
              </w:rPr>
              <w:t>GPS定位系统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 w:val="20"/>
                <w:szCs w:val="20"/>
              </w:rPr>
            </w:pPr>
          </w:p>
        </w:tc>
        <w:tc>
          <w:tcPr>
            <w:tcW w:w="7427" w:type="dxa"/>
            <w:noWrap w:val="0"/>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noWrap w:val="0"/>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noWrap w:val="0"/>
            <w:vAlign w:val="top"/>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noWrap w:val="0"/>
            <w:vAlign w:val="top"/>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noWrap w:val="0"/>
            <w:vAlign w:val="top"/>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noWrap w:val="0"/>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w:t>
            </w:r>
            <w:r>
              <w:rPr>
                <w:rFonts w:hint="eastAsia" w:ascii="宋体" w:hAnsi="宋体"/>
                <w:b/>
                <w:color w:val="000000"/>
                <w:sz w:val="20"/>
                <w:szCs w:val="20"/>
                <w:lang w:val="en-US" w:eastAsia="zh-CN"/>
              </w:rPr>
              <w:t>运营部、市场部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eastAsia="zh-CN"/>
              </w:rPr>
              <w:t>室</w:t>
            </w:r>
            <w:r>
              <w:rPr>
                <w:rFonts w:hint="eastAsia" w:ascii="宋体" w:hAnsi="宋体"/>
                <w:b/>
                <w:color w:val="000000"/>
                <w:sz w:val="20"/>
                <w:szCs w:val="20"/>
              </w:rPr>
              <w:t>、</w:t>
            </w:r>
            <w:r>
              <w:rPr>
                <w:rFonts w:hint="eastAsia" w:ascii="宋体" w:hAnsi="宋体"/>
                <w:b/>
                <w:color w:val="000000"/>
                <w:sz w:val="20"/>
                <w:szCs w:val="20"/>
                <w:lang w:eastAsia="zh-CN"/>
              </w:rPr>
              <w:t>仓库</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noWrap w:val="0"/>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noWrap w:val="0"/>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建立有《内部审核控制程序》，于</w:t>
            </w:r>
            <w:r>
              <w:rPr>
                <w:rFonts w:hint="eastAsia" w:ascii="宋体" w:hAnsi="宋体" w:eastAsia="宋体" w:cs="Times New Roman"/>
                <w:szCs w:val="21"/>
              </w:rPr>
              <w:t>2020</w:t>
            </w:r>
            <w:r>
              <w:rPr>
                <w:rFonts w:hint="eastAsia" w:ascii="宋体" w:hAnsi="宋体" w:cs="Times New Roman"/>
                <w:szCs w:val="21"/>
                <w:lang w:eastAsia="zh-CN"/>
              </w:rPr>
              <w:t>年</w:t>
            </w:r>
            <w:r>
              <w:rPr>
                <w:rFonts w:hint="eastAsia" w:ascii="宋体" w:hAnsi="宋体" w:cs="Times New Roman"/>
                <w:szCs w:val="21"/>
                <w:lang w:val="en-US" w:eastAsia="zh-CN"/>
              </w:rPr>
              <w:t>5月10日-</w:t>
            </w:r>
            <w:r>
              <w:rPr>
                <w:rFonts w:hint="eastAsia" w:ascii="宋体" w:hAnsi="宋体" w:eastAsia="宋体" w:cs="Times New Roman"/>
                <w:szCs w:val="21"/>
              </w:rPr>
              <w:t>11</w:t>
            </w:r>
            <w:r>
              <w:rPr>
                <w:rFonts w:hint="eastAsia" w:ascii="宋体" w:hAnsi="宋体" w:cs="Times New Roman"/>
                <w:szCs w:val="21"/>
                <w:lang w:eastAsia="zh-CN"/>
              </w:rPr>
              <w:t>日</w:t>
            </w:r>
            <w:r>
              <w:rPr>
                <w:rFonts w:hint="eastAsia" w:ascii="宋体" w:hAnsi="宋体" w:eastAsia="宋体" w:cs="Times New Roman"/>
                <w:szCs w:val="21"/>
              </w:rPr>
              <w:t>进</w:t>
            </w:r>
            <w:r>
              <w:rPr>
                <w:rFonts w:hint="eastAsia" w:ascii="宋体" w:hAnsi="宋体"/>
                <w:szCs w:val="21"/>
              </w:rPr>
              <w:t>行了内部审核。内部审核组组成：审核组长：</w:t>
            </w:r>
            <w:r>
              <w:rPr>
                <w:rFonts w:hint="eastAsia" w:ascii="宋体" w:hAnsi="宋体" w:eastAsia="宋体" w:cs="Times New Roman"/>
                <w:szCs w:val="21"/>
              </w:rPr>
              <w:t>王佳琳     组员：郝春光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jc w:val="lef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jc w:val="left"/>
              <w:rPr>
                <w:rFonts w:hint="eastAsia" w:ascii="宋体" w:hAnsi="宋体" w:eastAsia="宋体"/>
                <w:b w:val="0"/>
                <w:bCs/>
                <w:color w:val="000000"/>
                <w:sz w:val="21"/>
                <w:szCs w:val="21"/>
                <w:lang w:eastAsia="zh-CN"/>
              </w:rPr>
            </w:pPr>
            <w:r>
              <w:rPr>
                <w:rFonts w:hint="eastAsia" w:ascii="宋体" w:hAnsi="宋体"/>
                <w:b w:val="0"/>
                <w:bCs/>
                <w:color w:val="000000"/>
                <w:sz w:val="21"/>
                <w:szCs w:val="21"/>
              </w:rPr>
              <w:t>审核范围:</w:t>
            </w:r>
            <w:r>
              <w:rPr>
                <w:rFonts w:hint="eastAsia" w:ascii="宋体" w:hAnsi="宋体"/>
                <w:sz w:val="21"/>
                <w:szCs w:val="21"/>
              </w:rPr>
              <w:t xml:space="preserve">许可范围内的普通货运 </w:t>
            </w:r>
            <w:r>
              <w:rPr>
                <w:rFonts w:hint="eastAsia" w:ascii="宋体" w:hAnsi="宋体"/>
                <w:sz w:val="21"/>
                <w:szCs w:val="21"/>
                <w:lang w:eastAsia="zh-CN"/>
              </w:rPr>
              <w:t>；</w:t>
            </w:r>
          </w:p>
          <w:p>
            <w:pPr>
              <w:spacing w:line="260" w:lineRule="exact"/>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spacing w:line="260" w:lineRule="exact"/>
              <w:rPr>
                <w:rFonts w:hint="eastAsia"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noWrap w:val="0"/>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eastAsia="宋体" w:cs="Times New Roman"/>
                <w:szCs w:val="21"/>
              </w:rPr>
              <w:t>于2020年5月30</w:t>
            </w:r>
            <w:r>
              <w:rPr>
                <w:rFonts w:hint="eastAsia" w:ascii="宋体" w:hAnsi="宋体"/>
                <w:kern w:val="0"/>
                <w:szCs w:val="21"/>
              </w:rPr>
              <w:t>日由总经理主持</w:t>
            </w:r>
            <w:r>
              <w:rPr>
                <w:rFonts w:hint="eastAsia"/>
                <w:szCs w:val="21"/>
              </w:rPr>
              <w:t>就管理方针和目标，评价和审定管理体系运行的适宜性、充分性和有效性进行了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noWrap w:val="0"/>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val="0"/>
                <w:bCs/>
                <w:color w:val="000000"/>
                <w:szCs w:val="21"/>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noWrap w:val="0"/>
            <w:vAlign w:val="top"/>
          </w:tcPr>
          <w:p>
            <w:pPr>
              <w:widowControl/>
              <w:jc w:val="left"/>
              <w:rPr>
                <w:rFonts w:ascii="宋体"/>
                <w:b/>
                <w:color w:val="000000"/>
                <w:sz w:val="20"/>
                <w:szCs w:val="20"/>
              </w:rPr>
            </w:pPr>
          </w:p>
        </w:tc>
        <w:tc>
          <w:tcPr>
            <w:tcW w:w="708" w:type="dxa"/>
            <w:noWrap w:val="0"/>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noWrap w:val="0"/>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QMS:</w:t>
      </w:r>
      <w:r>
        <w:rPr>
          <w:rFonts w:hint="eastAsia" w:ascii="宋体" w:hAnsi="宋体"/>
          <w:b/>
          <w:bCs/>
          <w:szCs w:val="21"/>
          <w:u w:val="single"/>
        </w:rPr>
        <w:t>许可范围内的普通货运</w:t>
      </w:r>
      <w:r>
        <w:rPr>
          <w:rFonts w:hint="eastAsia" w:ascii="宋体" w:hAnsi="宋体"/>
          <w:b/>
          <w:bCs/>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92032" behindDoc="0" locked="0" layoutInCell="1" allowOverlap="1">
            <wp:simplePos x="0" y="0"/>
            <wp:positionH relativeFrom="column">
              <wp:posOffset>1824990</wp:posOffset>
            </wp:positionH>
            <wp:positionV relativeFrom="paragraph">
              <wp:posOffset>322580</wp:posOffset>
            </wp:positionV>
            <wp:extent cx="658495" cy="412115"/>
            <wp:effectExtent l="0" t="0" r="12065" b="14605"/>
            <wp:wrapNone/>
            <wp:docPr id="11" name="图片 1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新文档 2020-01-09 10.59.53_副本.jpg"/>
                    <pic:cNvPicPr>
                      <a:picLocks noChangeAspect="1" noChangeArrowheads="1"/>
                    </pic:cNvPicPr>
                  </pic:nvPicPr>
                  <pic:blipFill>
                    <a:blip r:embed="rId6" cstate="print"/>
                    <a:srcRect/>
                    <a:stretch>
                      <a:fillRect/>
                    </a:stretch>
                  </pic:blipFill>
                  <pic:spPr>
                    <a:xfrm>
                      <a:off x="0" y="0"/>
                      <a:ext cx="658495" cy="41211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ascii="宋体" w:hAnsi="宋体"/>
        </w:rPr>
        <w:drawing>
          <wp:anchor distT="0" distB="0" distL="114300" distR="114300" simplePos="0" relativeHeight="251685888" behindDoc="0" locked="0" layoutInCell="1" allowOverlap="1">
            <wp:simplePos x="0" y="0"/>
            <wp:positionH relativeFrom="column">
              <wp:posOffset>4747895</wp:posOffset>
            </wp:positionH>
            <wp:positionV relativeFrom="paragraph">
              <wp:posOffset>9117330</wp:posOffset>
            </wp:positionV>
            <wp:extent cx="550545" cy="342900"/>
            <wp:effectExtent l="0" t="0" r="13335" b="7620"/>
            <wp:wrapNone/>
            <wp:docPr id="8"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rPr>
        <w:drawing>
          <wp:anchor distT="0" distB="0" distL="114300" distR="114300" simplePos="0" relativeHeight="251676672" behindDoc="0" locked="0" layoutInCell="1" allowOverlap="1">
            <wp:simplePos x="0" y="0"/>
            <wp:positionH relativeFrom="column">
              <wp:posOffset>4595495</wp:posOffset>
            </wp:positionH>
            <wp:positionV relativeFrom="paragraph">
              <wp:posOffset>8964930</wp:posOffset>
            </wp:positionV>
            <wp:extent cx="550545" cy="342900"/>
            <wp:effectExtent l="0" t="0" r="13335" b="7620"/>
            <wp:wrapNone/>
            <wp:docPr id="7"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b/>
          <w:color w:val="000000"/>
        </w:rPr>
        <w:t xml:space="preserve"> </w:t>
      </w:r>
      <w:r>
        <w:rPr>
          <w:rFonts w:ascii="宋体" w:hAnsi="宋体"/>
        </w:rPr>
        <w:drawing>
          <wp:anchor distT="0" distB="0" distL="114300" distR="114300" simplePos="0" relativeHeight="251667456" behindDoc="0" locked="0" layoutInCell="1" allowOverlap="1">
            <wp:simplePos x="0" y="0"/>
            <wp:positionH relativeFrom="column">
              <wp:posOffset>4443095</wp:posOffset>
            </wp:positionH>
            <wp:positionV relativeFrom="paragraph">
              <wp:posOffset>8812530</wp:posOffset>
            </wp:positionV>
            <wp:extent cx="550545" cy="342900"/>
            <wp:effectExtent l="0" t="0" r="13335" b="7620"/>
            <wp:wrapNone/>
            <wp:docPr id="6"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rPr>
        <w:drawing>
          <wp:anchor distT="0" distB="0" distL="114300" distR="114300" simplePos="0" relativeHeight="251658240" behindDoc="0" locked="0" layoutInCell="1" allowOverlap="1">
            <wp:simplePos x="0" y="0"/>
            <wp:positionH relativeFrom="column">
              <wp:posOffset>2423795</wp:posOffset>
            </wp:positionH>
            <wp:positionV relativeFrom="paragraph">
              <wp:posOffset>2494915</wp:posOffset>
            </wp:positionV>
            <wp:extent cx="550545" cy="342900"/>
            <wp:effectExtent l="0" t="0" r="13335" b="7620"/>
            <wp:wrapNone/>
            <wp:docPr id="5"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702272" behindDoc="0" locked="0" layoutInCell="1" allowOverlap="1">
            <wp:simplePos x="0" y="0"/>
            <wp:positionH relativeFrom="column">
              <wp:posOffset>1656715</wp:posOffset>
            </wp:positionH>
            <wp:positionV relativeFrom="paragraph">
              <wp:posOffset>90805</wp:posOffset>
            </wp:positionV>
            <wp:extent cx="632460" cy="313055"/>
            <wp:effectExtent l="0" t="0" r="7620" b="6985"/>
            <wp:wrapNone/>
            <wp:docPr id="12" name="图片 12"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小号"/>
                    <pic:cNvPicPr>
                      <a:picLocks noChangeAspect="1"/>
                    </pic:cNvPicPr>
                  </pic:nvPicPr>
                  <pic:blipFill>
                    <a:blip r:embed="rId8"/>
                    <a:srcRect l="19829" t="27682" r="28673" b="20988"/>
                    <a:stretch>
                      <a:fillRect/>
                    </a:stretch>
                  </pic:blipFill>
                  <pic:spPr>
                    <a:xfrm>
                      <a:off x="0" y="0"/>
                      <a:ext cx="632460" cy="31305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2020年08月08日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olor w:val="000000"/>
          <w:sz w:val="28"/>
          <w:szCs w:val="28"/>
          <w:lang w:eastAsia="zh-CN"/>
        </w:rPr>
        <w:t>成</w:t>
      </w:r>
      <w:r>
        <w:rPr>
          <w:rFonts w:hint="eastAsia" w:eastAsia="隶书"/>
          <w:color w:val="000000"/>
          <w:sz w:val="28"/>
          <w:szCs w:val="28"/>
        </w:rPr>
        <w:t>都锦兰货运有限公司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noWrap w:val="0"/>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noWrap w:val="0"/>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noWrap w:val="0"/>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noWrap w:val="0"/>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681" w:type="dxa"/>
            <w:noWrap w:val="0"/>
            <w:vAlign w:val="center"/>
          </w:tcPr>
          <w:p>
            <w:pPr>
              <w:pStyle w:val="5"/>
              <w:pBdr>
                <w:bottom w:val="none" w:color="auto" w:sz="0" w:space="0"/>
              </w:pBdr>
              <w:tabs>
                <w:tab w:val="center" w:pos="5737"/>
                <w:tab w:val="clear" w:pos="4153"/>
              </w:tabs>
              <w:jc w:val="both"/>
              <w:rPr>
                <w:rFonts w:hint="eastAsia" w:eastAsia="宋体"/>
                <w:color w:val="000000"/>
                <w:sz w:val="21"/>
                <w:szCs w:val="21"/>
                <w:lang w:eastAsia="zh-CN"/>
              </w:rPr>
            </w:pPr>
            <w:r>
              <w:rPr>
                <w:rFonts w:hint="eastAsia" w:ascii="宋体" w:hAnsi="宋体"/>
                <w:b/>
                <w:sz w:val="22"/>
                <w:szCs w:val="22"/>
                <w:lang w:eastAsia="zh-CN"/>
              </w:rPr>
              <w:t>查</w:t>
            </w:r>
            <w:r>
              <w:rPr>
                <w:rFonts w:hint="eastAsia" w:ascii="宋体" w:hAnsi="宋体"/>
                <w:b/>
                <w:sz w:val="22"/>
                <w:szCs w:val="22"/>
              </w:rPr>
              <w:t>特种设备</w:t>
            </w:r>
            <w:r>
              <w:rPr>
                <w:rFonts w:hint="eastAsia" w:ascii="宋体" w:hAnsi="宋体"/>
                <w:b/>
                <w:sz w:val="22"/>
                <w:szCs w:val="22"/>
                <w:lang w:eastAsia="zh-CN"/>
              </w:rPr>
              <w:t>管理</w:t>
            </w:r>
            <w:r>
              <w:rPr>
                <w:rFonts w:hint="eastAsia" w:ascii="宋体" w:hAnsi="宋体"/>
                <w:b/>
                <w:sz w:val="22"/>
                <w:szCs w:val="22"/>
              </w:rPr>
              <w:t>：</w:t>
            </w:r>
            <w:r>
              <w:rPr>
                <w:rFonts w:hint="eastAsia" w:ascii="宋体" w:hAnsi="宋体"/>
                <w:b/>
                <w:sz w:val="22"/>
                <w:szCs w:val="22"/>
                <w:lang w:eastAsia="zh-CN"/>
              </w:rPr>
              <w:t>组织有一台在用平衡重电动叉车</w:t>
            </w:r>
            <w:r>
              <w:rPr>
                <w:rFonts w:hint="eastAsia" w:ascii="宋体" w:hAnsi="宋体"/>
                <w:b/>
                <w:sz w:val="22"/>
                <w:szCs w:val="22"/>
                <w:lang w:val="en-US" w:eastAsia="zh-CN"/>
              </w:rPr>
              <w:t>（编号B3C-01504）</w:t>
            </w:r>
            <w:r>
              <w:rPr>
                <w:rFonts w:hint="eastAsia" w:ascii="宋体" w:hAnsi="宋体"/>
                <w:b/>
                <w:sz w:val="22"/>
                <w:szCs w:val="22"/>
                <w:lang w:eastAsia="zh-CN"/>
              </w:rPr>
              <w:t>，为在供方“成都汉智叉车有限公司”进行租赁使用。查该特种设备年检记录，</w:t>
            </w:r>
            <w:r>
              <w:rPr>
                <w:rFonts w:hint="eastAsia" w:ascii="宋体" w:hAnsi="宋体"/>
                <w:b/>
                <w:sz w:val="22"/>
                <w:szCs w:val="22"/>
                <w:lang w:val="en-US" w:eastAsia="zh-CN"/>
              </w:rPr>
              <w:t>未能提供该叉车的有效年检证明。</w:t>
            </w:r>
            <w:bookmarkStart w:id="26" w:name="_GoBack"/>
            <w:bookmarkEnd w:id="26"/>
          </w:p>
        </w:tc>
        <w:tc>
          <w:tcPr>
            <w:tcW w:w="1688" w:type="dxa"/>
            <w:noWrap w:val="0"/>
            <w:vAlign w:val="center"/>
          </w:tcPr>
          <w:p>
            <w:pPr>
              <w:pStyle w:val="5"/>
              <w:pBdr>
                <w:bottom w:val="none" w:color="auto" w:sz="0" w:space="0"/>
              </w:pBdr>
              <w:ind w:right="600"/>
              <w:jc w:val="both"/>
              <w:rPr>
                <w:color w:val="000000"/>
                <w:sz w:val="32"/>
                <w:szCs w:val="32"/>
              </w:rPr>
            </w:pPr>
            <w:bookmarkStart w:id="25" w:name="审核依据"/>
            <w:r>
              <w:rPr>
                <w:rFonts w:hint="eastAsia" w:ascii="宋体" w:hAnsi="宋体"/>
                <w:b/>
                <w:sz w:val="21"/>
                <w:szCs w:val="21"/>
              </w:rPr>
              <w:t>GB/T19001-2016/ISO9001:2015</w:t>
            </w:r>
            <w:bookmarkEnd w:id="25"/>
          </w:p>
        </w:tc>
        <w:tc>
          <w:tcPr>
            <w:tcW w:w="1811" w:type="dxa"/>
            <w:noWrap w:val="0"/>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rPr>
            </w:pPr>
          </w:p>
        </w:tc>
        <w:tc>
          <w:tcPr>
            <w:tcW w:w="1688" w:type="dxa"/>
            <w:noWrap w:val="0"/>
            <w:vAlign w:val="center"/>
          </w:tcPr>
          <w:p>
            <w:pPr>
              <w:pStyle w:val="5"/>
              <w:pBdr>
                <w:bottom w:val="none" w:color="auto" w:sz="0" w:space="0"/>
              </w:pBdr>
              <w:ind w:right="600"/>
              <w:jc w:val="both"/>
              <w:rPr>
                <w:color w:val="000000"/>
                <w:sz w:val="32"/>
                <w:szCs w:val="32"/>
              </w:rPr>
            </w:pPr>
          </w:p>
        </w:tc>
        <w:tc>
          <w:tcPr>
            <w:tcW w:w="1811" w:type="dxa"/>
            <w:noWrap w:val="0"/>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rPr>
            </w:pPr>
          </w:p>
        </w:tc>
        <w:tc>
          <w:tcPr>
            <w:tcW w:w="1688" w:type="dxa"/>
            <w:noWrap w:val="0"/>
            <w:vAlign w:val="center"/>
          </w:tcPr>
          <w:p>
            <w:pPr>
              <w:pStyle w:val="5"/>
              <w:pBdr>
                <w:bottom w:val="none" w:color="auto" w:sz="0" w:space="0"/>
              </w:pBdr>
              <w:ind w:right="600"/>
              <w:jc w:val="both"/>
              <w:rPr>
                <w:color w:val="000000"/>
                <w:sz w:val="32"/>
                <w:szCs w:val="32"/>
              </w:rPr>
            </w:pPr>
          </w:p>
        </w:tc>
        <w:tc>
          <w:tcPr>
            <w:tcW w:w="1811" w:type="dxa"/>
            <w:noWrap w:val="0"/>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rPr>
            </w:pPr>
          </w:p>
        </w:tc>
        <w:tc>
          <w:tcPr>
            <w:tcW w:w="1688" w:type="dxa"/>
            <w:noWrap w:val="0"/>
            <w:vAlign w:val="center"/>
          </w:tcPr>
          <w:p>
            <w:pPr>
              <w:pStyle w:val="5"/>
              <w:pBdr>
                <w:bottom w:val="none" w:color="auto" w:sz="0" w:space="0"/>
              </w:pBdr>
              <w:ind w:right="600"/>
              <w:jc w:val="both"/>
              <w:rPr>
                <w:color w:val="000000"/>
                <w:sz w:val="32"/>
                <w:szCs w:val="32"/>
              </w:rPr>
            </w:pPr>
          </w:p>
        </w:tc>
        <w:tc>
          <w:tcPr>
            <w:tcW w:w="1811" w:type="dxa"/>
            <w:noWrap w:val="0"/>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5"/>
              <w:pBdr>
                <w:bottom w:val="none" w:color="auto" w:sz="0" w:space="0"/>
              </w:pBdr>
              <w:ind w:right="600"/>
              <w:jc w:val="both"/>
              <w:rPr>
                <w:rFonts w:ascii="宋体"/>
                <w:color w:val="000000"/>
                <w:sz w:val="24"/>
                <w:szCs w:val="24"/>
              </w:rPr>
            </w:pPr>
          </w:p>
        </w:tc>
        <w:tc>
          <w:tcPr>
            <w:tcW w:w="5681" w:type="dxa"/>
            <w:noWrap w:val="0"/>
            <w:vAlign w:val="center"/>
          </w:tcPr>
          <w:p>
            <w:pPr>
              <w:pStyle w:val="5"/>
              <w:pBdr>
                <w:bottom w:val="none" w:color="auto" w:sz="0" w:space="0"/>
              </w:pBdr>
              <w:tabs>
                <w:tab w:val="center" w:pos="5737"/>
                <w:tab w:val="clear" w:pos="4153"/>
              </w:tabs>
              <w:jc w:val="both"/>
              <w:rPr>
                <w:color w:val="000000"/>
                <w:sz w:val="24"/>
                <w:szCs w:val="24"/>
              </w:rPr>
            </w:pPr>
          </w:p>
        </w:tc>
        <w:tc>
          <w:tcPr>
            <w:tcW w:w="1688" w:type="dxa"/>
            <w:noWrap w:val="0"/>
            <w:vAlign w:val="center"/>
          </w:tcPr>
          <w:p>
            <w:pPr>
              <w:pStyle w:val="5"/>
              <w:pBdr>
                <w:bottom w:val="none" w:color="auto" w:sz="0" w:space="0"/>
              </w:pBdr>
              <w:ind w:right="600"/>
              <w:jc w:val="both"/>
              <w:rPr>
                <w:color w:val="000000"/>
                <w:sz w:val="32"/>
                <w:szCs w:val="32"/>
              </w:rPr>
            </w:pPr>
          </w:p>
        </w:tc>
        <w:tc>
          <w:tcPr>
            <w:tcW w:w="1811" w:type="dxa"/>
            <w:noWrap w:val="0"/>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noWrap w:val="0"/>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sz w:val="22"/>
                <w:szCs w:val="22"/>
              </w:rPr>
              <w:drawing>
                <wp:anchor distT="0" distB="0" distL="114300" distR="114300" simplePos="0" relativeHeight="251687936" behindDoc="0" locked="0" layoutInCell="1" allowOverlap="1">
                  <wp:simplePos x="0" y="0"/>
                  <wp:positionH relativeFrom="column">
                    <wp:posOffset>529590</wp:posOffset>
                  </wp:positionH>
                  <wp:positionV relativeFrom="paragraph">
                    <wp:posOffset>10160</wp:posOffset>
                  </wp:positionV>
                  <wp:extent cx="499110" cy="312420"/>
                  <wp:effectExtent l="0" t="0" r="3810" b="7620"/>
                  <wp:wrapNone/>
                  <wp:docPr id="9" name="图片 9"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新文档 2020-01-09 10.59.53_副本.jpg"/>
                          <pic:cNvPicPr>
                            <a:picLocks noChangeAspect="1" noChangeArrowheads="1"/>
                          </pic:cNvPicPr>
                        </pic:nvPicPr>
                        <pic:blipFill>
                          <a:blip r:embed="rId6"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3534" w:firstLineChars="1600"/>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noWrap w:val="0"/>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noWrap w:val="0"/>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89984" behindDoc="0" locked="0" layoutInCell="1" allowOverlap="1">
                  <wp:simplePos x="0" y="0"/>
                  <wp:positionH relativeFrom="column">
                    <wp:posOffset>578485</wp:posOffset>
                  </wp:positionH>
                  <wp:positionV relativeFrom="paragraph">
                    <wp:posOffset>168910</wp:posOffset>
                  </wp:positionV>
                  <wp:extent cx="499110" cy="312420"/>
                  <wp:effectExtent l="0" t="0" r="3810" b="7620"/>
                  <wp:wrapNone/>
                  <wp:docPr id="10" name="图片 10"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新文档 2020-01-09 10.59.53_副本.jpg"/>
                          <pic:cNvPicPr>
                            <a:picLocks noChangeAspect="1" noChangeArrowheads="1"/>
                          </pic:cNvPicPr>
                        </pic:nvPicPr>
                        <pic:blipFill>
                          <a:blip r:embed="rId6" cstate="print"/>
                          <a:srcRect/>
                          <a:stretch>
                            <a:fillRect/>
                          </a:stretch>
                        </pic:blipFill>
                        <pic:spPr>
                          <a:xfrm>
                            <a:off x="2670810" y="2150745"/>
                            <a:ext cx="499110" cy="312420"/>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 xml:space="preserve">验证人：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noWrap w:val="0"/>
            <w:vAlign w:val="top"/>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3" name="文本框 1"/>
              <wp:cNvGraphicFramePr/>
              <a:graphic xmlns:a="http://schemas.openxmlformats.org/drawingml/2006/main">
                <a:graphicData uri="http://schemas.microsoft.com/office/word/2010/wordprocessingShape">
                  <wps:wsp>
                    <wps:cNvSpPr txBox="1"/>
                    <wps:spPr>
                      <a:xfrm>
                        <a:off x="0" y="0"/>
                        <a:ext cx="1984375" cy="256540"/>
                      </a:xfrm>
                      <a:prstGeom prst="rect">
                        <a:avLst/>
                      </a:prstGeom>
                      <a:solidFill>
                        <a:srgbClr val="FFFFFF"/>
                      </a:solidFill>
                      <a:ln>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wps:txbx>
                    <wps:bodyPr vert="horz" wrap="square" anchor="t" upright="1"/>
                  </wps:wsp>
                </a:graphicData>
              </a:graphic>
            </wp:anchor>
          </w:drawing>
        </mc:Choice>
        <mc:Fallback>
          <w:pict>
            <v:shape id="文本框 1"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V+PM1gAAAAkBAAAPAAAAAAAAAAEAIAAAACIAAABkcnMvZG93bnJl&#10;di54bWxQSwECFAAUAAAACACHTuJA8ch+zsYBAABc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mc:Fallback>
      </mc:AlternateContent>
    </w:r>
    <w:r>
      <w:rPr>
        <w:rStyle w:val="14"/>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U4b1jUAAAABwEAAA8AAAAA&#10;AAAAAQAgAAAAIgAAAGRycy9kb3ducmV2LnhtbFBLAQIUABQAAAAIAIdO4kCYMqE13wEAAKMDAAAO&#10;AAAAAAAAAAEAIAAAACMBAABkcnMvZTJvRG9jLnhtbFBLBQYAAAAABgAGAFkBAAB0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627A0"/>
    <w:rsid w:val="12DC144C"/>
    <w:rsid w:val="203D208F"/>
    <w:rsid w:val="26A945E6"/>
    <w:rsid w:val="2B6929A2"/>
    <w:rsid w:val="3DE53779"/>
    <w:rsid w:val="527773DB"/>
    <w:rsid w:val="53A14E6A"/>
    <w:rsid w:val="53A47862"/>
    <w:rsid w:val="55490C78"/>
    <w:rsid w:val="60AE38F8"/>
    <w:rsid w:val="681F1205"/>
    <w:rsid w:val="73424D70"/>
    <w:rsid w:val="73F34632"/>
    <w:rsid w:val="77B22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眉 字符"/>
    <w:link w:val="5"/>
    <w:qFormat/>
    <w:locked/>
    <w:uiPriority w:val="99"/>
    <w:rPr>
      <w:rFonts w:ascii="Calibri" w:hAnsi="Calibri"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2020-08-24T06:43:19Z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