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r>
        <w:rPr>
          <w:szCs w:val="44"/>
          <w:u w:val="single"/>
        </w:rPr>
        <w:t xml:space="preserve"> </w:t>
      </w:r>
      <w:bookmarkStart w:id="0" w:name="合同编号"/>
      <w:r>
        <w:rPr>
          <w:color w:val="000000"/>
        </w:rPr>
        <w:t>0423-2020-Q</w:t>
      </w:r>
      <w:bookmarkEnd w:id="0"/>
    </w:p>
    <w:p>
      <w:pPr>
        <w:snapToGrid w:val="0"/>
        <w:spacing w:afterLines="30"/>
        <w:jc w:val="center"/>
        <w:rPr>
          <w:rFonts w:ascii="楷体" w:hAnsi="楷体" w:eastAsia="楷体"/>
          <w:b/>
          <w:color w:val="000000"/>
          <w:sz w:val="84"/>
          <w:szCs w:val="84"/>
        </w:rPr>
      </w:pPr>
    </w:p>
    <w:p>
      <w:pPr>
        <w:snapToGrid w:val="0"/>
        <w:spacing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52"/>
          <w:szCs w:val="52"/>
        </w:rPr>
      </w:pP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尊道(北京)科技有限公司</w:t>
      </w:r>
      <w:bookmarkEnd w:id="1"/>
    </w:p>
    <w:p>
      <w:pPr>
        <w:snapToGrid w:val="0"/>
        <w:spacing w:afterLines="30"/>
        <w:ind w:firstLine="964" w:firstLineChars="300"/>
        <w:rPr>
          <w:rFonts w:ascii="楷体" w:hAnsi="楷体" w:eastAsia="楷体"/>
          <w:b/>
          <w:color w:val="000000"/>
          <w:sz w:val="32"/>
          <w:szCs w:val="32"/>
          <w:u w:val="single"/>
        </w:rPr>
      </w:pP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44"/>
          <w:szCs w:val="44"/>
        </w:rPr>
      </w:pPr>
    </w:p>
    <w:p>
      <w:pPr>
        <w:snapToGrid w:val="0"/>
        <w:spacing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sz w:val="18"/>
                <w:szCs w:val="18"/>
              </w:rPr>
              <w:t>李京田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val="en-US" w:eastAsia="zh-CN"/>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hAnsi="宋体"/>
          <w:b/>
          <w:color w:val="000000"/>
          <w:sz w:val="20"/>
          <w:szCs w:val="20"/>
          <w:lang w:val="de-DE"/>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p>
    <w:p>
      <w:pPr>
        <w:spacing w:line="300" w:lineRule="auto"/>
        <w:ind w:left="420" w:leftChars="200"/>
        <w:rPr>
          <w:rFonts w:ascii="宋体"/>
          <w:b/>
          <w:color w:val="000000"/>
          <w:spacing w:val="-4"/>
          <w:sz w:val="20"/>
          <w:szCs w:val="20"/>
        </w:rPr>
      </w:pPr>
      <w:r>
        <w:rPr>
          <w:rFonts w:hint="eastAsia" w:ascii="宋体" w:hAnsi="宋体" w:eastAsia="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hAnsi="宋体"/>
          <w:b/>
          <w:color w:val="000000"/>
          <w:spacing w:val="-10"/>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受审核方管理手册</w:t>
      </w:r>
      <w:r>
        <w:rPr>
          <w:rFonts w:ascii="宋体" w:hAnsi="宋体"/>
          <w:b/>
          <w:color w:val="000000"/>
          <w:spacing w:val="-10"/>
          <w:sz w:val="20"/>
          <w:szCs w:val="20"/>
        </w:rPr>
        <w:t xml:space="preserve">; </w:t>
      </w:r>
      <w:r>
        <w:rPr>
          <w:rFonts w:hint="eastAsia" w:ascii="宋体" w:hAnsi="宋体"/>
          <w:b/>
          <w:color w:val="000000"/>
          <w:spacing w:val="-10"/>
          <w:sz w:val="20"/>
          <w:szCs w:val="20"/>
        </w:rPr>
        <w:t>程序文件。</w:t>
      </w:r>
    </w:p>
    <w:p>
      <w:pPr>
        <w:spacing w:line="300" w:lineRule="auto"/>
        <w:ind w:left="420" w:leftChars="200"/>
        <w:rPr>
          <w:rFonts w:ascii="宋体"/>
          <w:b/>
          <w:color w:val="000000"/>
          <w:spacing w:val="-4"/>
          <w:sz w:val="20"/>
          <w:szCs w:val="20"/>
        </w:rPr>
      </w:pPr>
      <w:r>
        <w:rPr>
          <w:rFonts w:hint="eastAsia" w:ascii="宋体" w:hAnsi="宋体" w:eastAsia="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top"/>
          </w:tcPr>
          <w:p>
            <w:pPr>
              <w:spacing w:line="280" w:lineRule="exact"/>
              <w:rPr>
                <w:rFonts w:ascii="宋体"/>
                <w:b/>
                <w:color w:val="000000"/>
                <w:sz w:val="20"/>
                <w:szCs w:val="20"/>
              </w:rPr>
            </w:pPr>
            <w:r>
              <w:rPr>
                <w:rFonts w:ascii="宋体"/>
                <w:b/>
                <w:color w:val="000000"/>
                <w:sz w:val="20"/>
                <w:szCs w:val="20"/>
              </w:rPr>
              <w:t>尊道(北京)科技有限公司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top"/>
          </w:tcPr>
          <w:p>
            <w:pPr>
              <w:rPr>
                <w:rFonts w:ascii="宋体"/>
                <w:b/>
                <w:color w:val="000000"/>
                <w:sz w:val="20"/>
                <w:szCs w:val="20"/>
              </w:rPr>
            </w:pPr>
            <w:r>
              <w:rPr>
                <w:rFonts w:ascii="宋体"/>
                <w:b/>
                <w:color w:val="000000"/>
                <w:sz w:val="20"/>
                <w:szCs w:val="20"/>
              </w:rPr>
              <w:t>北京市海淀区彩和坊路8号五层5A13</w:t>
            </w:r>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top"/>
          </w:tcPr>
          <w:p>
            <w:pPr>
              <w:rPr>
                <w:rFonts w:ascii="宋体"/>
                <w:b/>
                <w:color w:val="000000"/>
                <w:sz w:val="20"/>
                <w:szCs w:val="20"/>
              </w:rPr>
            </w:pPr>
            <w:bookmarkStart w:id="9" w:name="经营地址"/>
            <w:bookmarkEnd w:id="9"/>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bookmarkStart w:id="10" w:name="经营邮编"/>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1" w:name="生产地址Add1"/>
            <w:r>
              <w:rPr>
                <w:rFonts w:ascii="宋体"/>
                <w:b/>
                <w:color w:val="000000"/>
                <w:sz w:val="20"/>
                <w:szCs w:val="20"/>
              </w:rPr>
              <w:t>北京市海淀区彩和坊路8号五层5A13</w:t>
            </w:r>
            <w:bookmarkEnd w:id="11"/>
          </w:p>
        </w:tc>
        <w:tc>
          <w:tcPr>
            <w:tcW w:w="1242" w:type="dxa"/>
            <w:vMerge w:val="continue"/>
            <w:vAlign w:val="center"/>
          </w:tcPr>
          <w:p>
            <w:pPr>
              <w:spacing w:line="280" w:lineRule="exact"/>
              <w:jc w:val="center"/>
              <w:rPr>
                <w:rFonts w:ascii="宋体"/>
                <w:b/>
                <w:color w:val="000000"/>
                <w:sz w:val="20"/>
                <w:szCs w:val="20"/>
              </w:rPr>
            </w:pPr>
          </w:p>
        </w:tc>
        <w:tc>
          <w:tcPr>
            <w:tcW w:w="1558" w:type="dxa"/>
            <w:vAlign w:val="top"/>
          </w:tcPr>
          <w:p>
            <w:pPr>
              <w:spacing w:line="280" w:lineRule="exact"/>
              <w:rPr>
                <w:rFonts w:ascii="宋体"/>
                <w:b/>
                <w:color w:val="000000"/>
                <w:sz w:val="20"/>
                <w:szCs w:val="20"/>
              </w:rPr>
            </w:pPr>
            <w:r>
              <w:rPr>
                <w:rFonts w:ascii="宋体"/>
                <w:b/>
                <w:color w:val="000000"/>
                <w:sz w:val="20"/>
                <w:szCs w:val="20"/>
              </w:rPr>
              <w:t>100080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top"/>
          </w:tcPr>
          <w:p>
            <w:pPr>
              <w:spacing w:line="280" w:lineRule="exact"/>
              <w:rPr>
                <w:rFonts w:ascii="宋体"/>
                <w:b/>
                <w:color w:val="000000"/>
                <w:sz w:val="20"/>
                <w:szCs w:val="20"/>
              </w:rPr>
            </w:pPr>
            <w:r>
              <w:rPr>
                <w:rFonts w:ascii="宋体"/>
                <w:b/>
                <w:color w:val="000000"/>
                <w:sz w:val="20"/>
                <w:szCs w:val="20"/>
              </w:rPr>
              <w:t>李颖</w:t>
            </w:r>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r>
              <w:rPr>
                <w:rFonts w:ascii="宋体"/>
                <w:b/>
                <w:color w:val="000000"/>
                <w:sz w:val="20"/>
                <w:szCs w:val="20"/>
              </w:rPr>
              <w:t>18511167486</w:t>
            </w:r>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2" w:name="联系人传真Add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top"/>
          </w:tcPr>
          <w:p>
            <w:pPr>
              <w:rPr>
                <w:rFonts w:ascii="宋体"/>
                <w:b/>
                <w:color w:val="000000"/>
                <w:sz w:val="20"/>
                <w:szCs w:val="20"/>
              </w:rPr>
            </w:pPr>
            <w:r>
              <w:rPr>
                <w:rFonts w:ascii="宋体"/>
                <w:b/>
                <w:color w:val="000000"/>
                <w:sz w:val="20"/>
                <w:szCs w:val="20"/>
              </w:rPr>
              <w:t>刘涛</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vAlign w:val="top"/>
          </w:tcPr>
          <w:p>
            <w:pPr>
              <w:rPr>
                <w:rFonts w:ascii="宋体"/>
                <w:b/>
                <w:color w:val="000000"/>
                <w:sz w:val="20"/>
                <w:szCs w:val="20"/>
              </w:rPr>
            </w:pPr>
            <w:r>
              <w:rPr>
                <w:rFonts w:ascii="宋体"/>
                <w:b/>
                <w:color w:val="000000"/>
                <w:sz w:val="20"/>
                <w:szCs w:val="20"/>
              </w:rPr>
              <w:t>李颖</w:t>
            </w:r>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3" w:name="联系人邮箱Add1"/>
            <w:r>
              <w:rPr>
                <w:rFonts w:ascii="宋体"/>
                <w:b/>
                <w:color w:val="000000"/>
                <w:sz w:val="20"/>
                <w:szCs w:val="20"/>
              </w:rPr>
              <w:t>331963292@qq.com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4" w:name="审核范围"/>
            <w:r>
              <w:rPr>
                <w:rFonts w:hint="eastAsia" w:ascii="宋体" w:hAnsi="宋体"/>
                <w:b/>
                <w:color w:val="000000"/>
                <w:sz w:val="20"/>
                <w:szCs w:val="20"/>
                <w:lang w:val="en-US" w:eastAsia="zh-CN"/>
              </w:rPr>
              <w:t>QMS:</w:t>
            </w:r>
            <w:r>
              <w:rPr>
                <w:rFonts w:ascii="宋体" w:hAnsi="宋体"/>
                <w:b/>
                <w:color w:val="000000"/>
                <w:sz w:val="20"/>
                <w:szCs w:val="20"/>
              </w:rPr>
              <w:t>软件开发、技术咨询及运维</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ascii="宋体"/>
                <w:b/>
                <w:color w:val="000000"/>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pStyle w:val="2"/>
              <w:rPr>
                <w:rFonts w:hint="eastAsia"/>
              </w:rPr>
            </w:pPr>
            <w:r>
              <w:rPr>
                <w:rFonts w:hint="eastAsia"/>
              </w:rPr>
              <w:t>在建项目：</w:t>
            </w:r>
            <w:bookmarkStart w:id="16" w:name="_GoBack"/>
            <w:bookmarkEnd w:id="16"/>
            <w:r>
              <w:rPr>
                <w:rFonts w:hint="eastAsia"/>
              </w:rPr>
              <w:t>中国联通边缘云项目（一站式废钢等级智能检测系统部署维护）</w:t>
            </w:r>
          </w:p>
          <w:p>
            <w:pPr>
              <w:pStyle w:val="2"/>
              <w:rPr>
                <w:rFonts w:hint="eastAsia"/>
              </w:rPr>
            </w:pPr>
            <w:r>
              <w:rPr>
                <w:rFonts w:hint="eastAsia"/>
              </w:rPr>
              <w:t>（软件研发及运维、软件技术咨询）</w:t>
            </w:r>
            <w:r>
              <w:rPr>
                <w:rFonts w:hint="eastAsia"/>
              </w:rPr>
              <w:tab/>
            </w:r>
            <w:r>
              <w:rPr>
                <w:rFonts w:hint="eastAsia"/>
              </w:rPr>
              <w:t>正在实施</w:t>
            </w:r>
            <w:r>
              <w:rPr>
                <w:rFonts w:hint="eastAsia"/>
              </w:rPr>
              <w:tab/>
            </w:r>
            <w:r>
              <w:rPr>
                <w:rFonts w:hint="eastAsia"/>
              </w:rPr>
              <w:t>北京华兴宏视技术有限公司 北京海淀区中关村知识产权大厦B座3层</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hint="default" w:ascii="宋体" w:eastAsia="宋体"/>
          <w:b/>
          <w:color w:val="000000"/>
          <w:spacing w:val="-2"/>
          <w:sz w:val="20"/>
          <w:szCs w:val="20"/>
          <w:lang w:val="en-US" w:eastAsia="zh-CN"/>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r>
        <w:rPr>
          <w:rFonts w:hint="eastAsia" w:ascii="宋体" w:hAnsi="宋体"/>
          <w:b/>
          <w:color w:val="000000"/>
          <w:spacing w:val="-2"/>
          <w:sz w:val="20"/>
          <w:szCs w:val="20"/>
          <w:lang w:eastAsia="zh-CN"/>
        </w:rPr>
        <w:t>：</w:t>
      </w:r>
      <w:r>
        <w:rPr>
          <w:rFonts w:hint="eastAsia" w:ascii="宋体" w:hAnsi="宋体"/>
          <w:b/>
          <w:color w:val="000000"/>
          <w:spacing w:val="-2"/>
          <w:sz w:val="20"/>
          <w:szCs w:val="20"/>
          <w:lang w:val="en-US" w:eastAsia="zh-CN"/>
        </w:rPr>
        <w:t>手册、程序文件</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rPr>
        <w:sym w:font="Wingdings 2" w:char="F0A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pacing w:val="-2"/>
          <w:sz w:val="20"/>
          <w:szCs w:val="20"/>
          <w:lang w:val="en-US" w:eastAsia="zh-CN"/>
        </w:rPr>
        <w:t>手册、程序文件</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val="en-US" w:eastAsia="zh-CN"/>
        </w:rPr>
        <w:t>综合部、技术部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服务场所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eastAsia="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软件开发、技术咨询及运维 </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综合部</w:t>
            </w:r>
            <w:r>
              <w:rPr>
                <w:rFonts w:hint="eastAsia" w:ascii="宋体" w:hAnsi="宋体"/>
                <w:b/>
                <w:color w:val="000000"/>
                <w:sz w:val="20"/>
                <w:szCs w:val="20"/>
              </w:rPr>
              <w:t>、</w:t>
            </w:r>
            <w:r>
              <w:rPr>
                <w:rFonts w:hint="eastAsia" w:ascii="宋体" w:hAnsi="宋体"/>
                <w:b/>
                <w:color w:val="000000"/>
                <w:sz w:val="20"/>
                <w:szCs w:val="20"/>
                <w:lang w:eastAsia="zh-CN"/>
              </w:rPr>
              <w:t>技术部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综合部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pStyle w:val="2"/>
              <w:rPr>
                <w:rFonts w:hint="eastAsia"/>
              </w:rPr>
            </w:pPr>
            <w:r>
              <w:rPr>
                <w:rFonts w:hint="eastAsia"/>
              </w:rPr>
              <w:t>在建项目：①中国联通边缘云项目（一站式废钢等级智能检测系统部署维护）</w:t>
            </w:r>
          </w:p>
          <w:p>
            <w:pPr>
              <w:tabs>
                <w:tab w:val="left" w:pos="360"/>
              </w:tabs>
              <w:ind w:left="360" w:hanging="360"/>
              <w:rPr>
                <w:rFonts w:ascii="宋体"/>
                <w:color w:val="000000"/>
                <w:sz w:val="20"/>
                <w:szCs w:val="20"/>
              </w:rPr>
            </w:pPr>
            <w:r>
              <w:rPr>
                <w:rFonts w:hint="eastAsia"/>
              </w:rPr>
              <w:t>（软件研发及运维、软件技术咨询）</w:t>
            </w:r>
            <w:r>
              <w:rPr>
                <w:rFonts w:hint="eastAsia"/>
              </w:rPr>
              <w:tab/>
            </w:r>
            <w:r>
              <w:rPr>
                <w:rFonts w:hint="eastAsia"/>
              </w:rPr>
              <w:t>正在实施</w:t>
            </w:r>
            <w:r>
              <w:rPr>
                <w:rFonts w:hint="eastAsia"/>
              </w:rPr>
              <w:tab/>
            </w:r>
            <w:r>
              <w:rPr>
                <w:rFonts w:hint="eastAsia"/>
              </w:rPr>
              <w:t>北京华兴宏视技术有限公司 北京海淀区中关村知识产权大厦B座3层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15" w:name="注册地址"/>
            <w:r>
              <w:t>北京市海淀区彩和坊路8号五层5A13</w:t>
            </w:r>
            <w:bookmarkEnd w:id="15"/>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eastAsia="宋体" w:cs="宋体"/>
                <w:color w:val="000000"/>
                <w:spacing w:val="-10"/>
                <w:sz w:val="20"/>
                <w:szCs w:val="20"/>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eastAsia="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eastAsia="宋体" w:cs="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eastAsia="宋体" w:cs="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FF"/>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产品技术标准号</w:t>
            </w:r>
            <w:r>
              <w:rPr>
                <w:rFonts w:hint="eastAsia" w:ascii="宋体" w:hAnsi="宋体"/>
                <w:color w:val="0000FF"/>
                <w:spacing w:val="-10"/>
                <w:sz w:val="20"/>
                <w:szCs w:val="20"/>
              </w:rPr>
              <w:t>：</w:t>
            </w:r>
          </w:p>
          <w:p>
            <w:pPr>
              <w:rPr>
                <w:rFonts w:hint="eastAsia" w:ascii="宋体" w:hAnsi="宋体"/>
                <w:sz w:val="24"/>
              </w:rPr>
            </w:pPr>
            <w:r>
              <w:rPr>
                <w:rFonts w:hint="eastAsia" w:ascii="宋体" w:hAnsi="宋体"/>
                <w:sz w:val="24"/>
              </w:rPr>
              <w:t>HB6464-1990 软件开发规范</w:t>
            </w:r>
            <w:r>
              <w:rPr>
                <w:rFonts w:hint="eastAsia" w:ascii="宋体" w:hAnsi="宋体"/>
                <w:sz w:val="24"/>
              </w:rPr>
              <w:tab/>
            </w:r>
            <w:r>
              <w:rPr>
                <w:rFonts w:hint="eastAsia" w:ascii="宋体" w:hAnsi="宋体"/>
                <w:sz w:val="24"/>
              </w:rPr>
              <w:t>国家质监总局</w:t>
            </w:r>
          </w:p>
          <w:p>
            <w:pPr>
              <w:rPr>
                <w:rFonts w:hint="eastAsia" w:ascii="宋体" w:hAnsi="宋体"/>
                <w:sz w:val="24"/>
              </w:rPr>
            </w:pPr>
            <w:r>
              <w:rPr>
                <w:rFonts w:hint="eastAsia" w:ascii="宋体" w:hAnsi="宋体"/>
                <w:sz w:val="24"/>
              </w:rPr>
              <w:t>GBT19000.3-1994 质量管理和质量保证标准 第三部分：GBT 19001--ISO 9001 在软件开发、供应和维护中的使用指南</w:t>
            </w:r>
            <w:r>
              <w:rPr>
                <w:rFonts w:hint="eastAsia" w:ascii="宋体" w:hAnsi="宋体"/>
                <w:sz w:val="24"/>
              </w:rPr>
              <w:tab/>
            </w:r>
            <w:r>
              <w:rPr>
                <w:rFonts w:hint="eastAsia" w:ascii="宋体" w:hAnsi="宋体"/>
                <w:sz w:val="24"/>
              </w:rPr>
              <w:t>国家质监总局</w:t>
            </w:r>
          </w:p>
          <w:p>
            <w:pPr>
              <w:rPr>
                <w:rFonts w:hint="eastAsia" w:ascii="宋体" w:hAnsi="宋体"/>
                <w:sz w:val="24"/>
              </w:rPr>
            </w:pPr>
            <w:r>
              <w:rPr>
                <w:rFonts w:hint="eastAsia" w:ascii="宋体" w:hAnsi="宋体"/>
                <w:sz w:val="24"/>
              </w:rPr>
              <w:t>SJ20778-2000 软件开发与文档编制</w:t>
            </w:r>
            <w:r>
              <w:rPr>
                <w:rFonts w:hint="eastAsia" w:ascii="宋体" w:hAnsi="宋体"/>
                <w:sz w:val="24"/>
              </w:rPr>
              <w:tab/>
            </w:r>
            <w:r>
              <w:rPr>
                <w:rFonts w:hint="eastAsia" w:ascii="宋体" w:hAnsi="宋体"/>
                <w:sz w:val="24"/>
              </w:rPr>
              <w:t>国家质监总局</w:t>
            </w:r>
          </w:p>
          <w:p>
            <w:pPr>
              <w:rPr>
                <w:rFonts w:hint="eastAsia" w:ascii="宋体" w:hAnsi="宋体"/>
                <w:color w:val="auto"/>
                <w:szCs w:val="21"/>
              </w:rPr>
            </w:pPr>
            <w:r>
              <w:rPr>
                <w:rFonts w:hint="eastAsia" w:ascii="宋体" w:hAnsi="宋体"/>
                <w:color w:val="auto"/>
                <w:szCs w:val="21"/>
              </w:rPr>
              <w:t>计算机信息系统安全保护等级划分准则</w:t>
            </w:r>
            <w:r>
              <w:rPr>
                <w:rFonts w:hint="eastAsia" w:ascii="宋体" w:hAnsi="宋体"/>
                <w:color w:val="auto"/>
                <w:szCs w:val="21"/>
              </w:rPr>
              <w:tab/>
            </w:r>
            <w:r>
              <w:rPr>
                <w:rFonts w:hint="eastAsia" w:ascii="宋体" w:hAnsi="宋体"/>
                <w:color w:val="auto"/>
                <w:szCs w:val="21"/>
              </w:rPr>
              <w:t>GB17859-1999</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信息安全技术操作系统安全评估准则</w:t>
            </w:r>
            <w:r>
              <w:rPr>
                <w:rFonts w:hint="eastAsia" w:ascii="宋体" w:hAnsi="宋体"/>
                <w:color w:val="auto"/>
                <w:szCs w:val="21"/>
              </w:rPr>
              <w:tab/>
            </w:r>
            <w:r>
              <w:rPr>
                <w:rFonts w:hint="eastAsia" w:ascii="宋体" w:hAnsi="宋体"/>
                <w:color w:val="auto"/>
                <w:szCs w:val="21"/>
              </w:rPr>
              <w:t>GB/T20008-2005</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信息安全技术智能卡嵌入式软件安全技术要求（EAL4增强级）</w:t>
            </w:r>
            <w:r>
              <w:rPr>
                <w:rFonts w:hint="eastAsia" w:ascii="宋体" w:hAnsi="宋体"/>
                <w:color w:val="auto"/>
                <w:szCs w:val="21"/>
              </w:rPr>
              <w:tab/>
            </w:r>
            <w:r>
              <w:rPr>
                <w:rFonts w:hint="eastAsia" w:ascii="宋体" w:hAnsi="宋体"/>
                <w:color w:val="auto"/>
                <w:szCs w:val="21"/>
              </w:rPr>
              <w:t>GB/T20276-2006</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信息安全技术网络和终端设备隔离部件测试评价方法</w:t>
            </w:r>
            <w:r>
              <w:rPr>
                <w:rFonts w:hint="eastAsia" w:ascii="宋体" w:hAnsi="宋体"/>
                <w:color w:val="auto"/>
                <w:szCs w:val="21"/>
              </w:rPr>
              <w:tab/>
            </w:r>
            <w:r>
              <w:rPr>
                <w:rFonts w:hint="eastAsia" w:ascii="宋体" w:hAnsi="宋体"/>
                <w:color w:val="auto"/>
                <w:szCs w:val="21"/>
              </w:rPr>
              <w:t>GB/T20277-2006</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信息安全技术信息系统安全审计产品技术要求和评价方法</w:t>
            </w:r>
            <w:r>
              <w:rPr>
                <w:rFonts w:hint="eastAsia" w:ascii="宋体" w:hAnsi="宋体"/>
                <w:color w:val="auto"/>
                <w:szCs w:val="21"/>
              </w:rPr>
              <w:tab/>
            </w:r>
            <w:r>
              <w:rPr>
                <w:rFonts w:hint="eastAsia" w:ascii="宋体" w:hAnsi="宋体"/>
                <w:color w:val="auto"/>
                <w:szCs w:val="21"/>
              </w:rPr>
              <w:t>GB/T20945-2007</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信息技术软件产品评价质量特性及其使用指南</w:t>
            </w:r>
            <w:r>
              <w:rPr>
                <w:rFonts w:hint="eastAsia" w:ascii="宋体" w:hAnsi="宋体"/>
                <w:color w:val="auto"/>
                <w:szCs w:val="21"/>
              </w:rPr>
              <w:tab/>
            </w:r>
            <w:r>
              <w:rPr>
                <w:rFonts w:hint="eastAsia" w:ascii="宋体" w:hAnsi="宋体"/>
                <w:color w:val="auto"/>
                <w:szCs w:val="21"/>
              </w:rPr>
              <w:t xml:space="preserve">GB/T 16260-1996 </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军用软件质量保证规范</w:t>
            </w:r>
            <w:r>
              <w:rPr>
                <w:rFonts w:hint="eastAsia" w:ascii="宋体" w:hAnsi="宋体"/>
                <w:color w:val="auto"/>
                <w:szCs w:val="21"/>
              </w:rPr>
              <w:tab/>
            </w:r>
            <w:r>
              <w:rPr>
                <w:rFonts w:hint="eastAsia" w:ascii="宋体" w:hAnsi="宋体"/>
                <w:color w:val="auto"/>
                <w:szCs w:val="21"/>
              </w:rPr>
              <w:t>GJB 439-1988</w:t>
            </w:r>
            <w:r>
              <w:rPr>
                <w:rFonts w:hint="eastAsia" w:ascii="宋体" w:hAnsi="宋体"/>
                <w:color w:val="auto"/>
                <w:szCs w:val="21"/>
              </w:rPr>
              <w:tab/>
            </w:r>
          </w:p>
          <w:p>
            <w:pPr>
              <w:rPr>
                <w:rFonts w:hint="eastAsia" w:ascii="宋体" w:hAnsi="宋体"/>
                <w:color w:val="auto"/>
                <w:szCs w:val="21"/>
              </w:rPr>
            </w:pPr>
            <w:r>
              <w:rPr>
                <w:rFonts w:hint="eastAsia" w:ascii="宋体" w:hAnsi="宋体"/>
                <w:color w:val="auto"/>
                <w:szCs w:val="21"/>
              </w:rPr>
              <w:t>软件可靠性和安全性设计准则</w:t>
            </w:r>
            <w:r>
              <w:rPr>
                <w:rFonts w:hint="eastAsia" w:ascii="宋体" w:hAnsi="宋体"/>
                <w:color w:val="auto"/>
                <w:szCs w:val="21"/>
              </w:rPr>
              <w:tab/>
            </w:r>
            <w:r>
              <w:rPr>
                <w:rFonts w:hint="eastAsia" w:ascii="宋体" w:hAnsi="宋体"/>
                <w:color w:val="auto"/>
                <w:szCs w:val="21"/>
              </w:rPr>
              <w:t>GJB/Z 102-1997</w:t>
            </w:r>
          </w:p>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eastAsia="宋体" w:cs="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kern w:val="0"/>
                <w:sz w:val="18"/>
                <w:szCs w:val="18"/>
                <w:lang w:val="zh-CN" w:eastAsia="zh-CN" w:bidi="ar-SA"/>
              </w:rPr>
            </w:pPr>
            <w:r>
              <w:rPr>
                <w:rFonts w:hint="eastAsia" w:ascii="宋体" w:hAnsi="宋体"/>
                <w:b/>
                <w:bCs/>
                <w:color w:val="000000"/>
                <w:kern w:val="0"/>
                <w:sz w:val="18"/>
                <w:szCs w:val="18"/>
                <w:lang w:val="en-US" w:eastAsia="zh-CN" w:bidi="ar-SA"/>
              </w:rPr>
              <w:t>软件开发</w:t>
            </w:r>
            <w:r>
              <w:rPr>
                <w:rFonts w:hint="eastAsia" w:hAnsi="宋体"/>
                <w:b/>
                <w:bCs/>
                <w:color w:val="000000"/>
                <w:kern w:val="0"/>
                <w:sz w:val="18"/>
                <w:szCs w:val="18"/>
                <w:lang w:val="en-US" w:eastAsia="zh-CN" w:bidi="ar-SA"/>
              </w:rPr>
              <w:t>及运维服务</w:t>
            </w:r>
            <w:r>
              <w:rPr>
                <w:rFonts w:hint="eastAsia" w:ascii="宋体" w:hAnsi="宋体"/>
                <w:color w:val="000000"/>
                <w:kern w:val="0"/>
                <w:sz w:val="18"/>
                <w:szCs w:val="18"/>
                <w:lang w:val="en-US" w:eastAsia="zh-CN" w:bidi="ar-SA"/>
              </w:rPr>
              <w:t>：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w:t>
            </w:r>
            <w:r>
              <w:rPr>
                <w:rFonts w:hint="eastAsia" w:ascii="宋体" w:hAnsi="宋体"/>
                <w:color w:val="000000"/>
                <w:kern w:val="0"/>
                <w:sz w:val="18"/>
                <w:szCs w:val="18"/>
                <w:lang w:val="zh-CN" w:eastAsia="zh-CN" w:bidi="ar-SA"/>
              </w:rPr>
              <w:t>系统维护--升级--测试---客户验收</w:t>
            </w:r>
          </w:p>
          <w:p>
            <w:pPr>
              <w:pStyle w:val="5"/>
              <w:rPr>
                <w:rFonts w:hint="eastAsia"/>
                <w:lang w:val="en-US" w:eastAsia="zh-CN"/>
              </w:rPr>
            </w:pPr>
          </w:p>
          <w:p>
            <w:pPr>
              <w:pStyle w:val="5"/>
              <w:jc w:val="left"/>
              <w:rPr>
                <w:rFonts w:hint="eastAsia" w:ascii="宋体" w:hAnsi="宋体"/>
                <w:color w:val="000000"/>
                <w:kern w:val="0"/>
                <w:sz w:val="24"/>
                <w:szCs w:val="24"/>
                <w:lang w:val="en-US" w:eastAsia="zh-CN" w:bidi="ar-SA"/>
              </w:rPr>
            </w:pPr>
            <w:r>
              <w:rPr>
                <w:rFonts w:hint="eastAsia" w:ascii="宋体" w:hAnsi="宋体"/>
                <w:b/>
                <w:bCs/>
                <w:color w:val="000000"/>
                <w:kern w:val="0"/>
                <w:sz w:val="18"/>
                <w:szCs w:val="18"/>
                <w:lang w:val="en-US" w:eastAsia="zh-CN" w:bidi="ar-SA"/>
              </w:rPr>
              <w:t>技术咨询服务</w:t>
            </w:r>
            <w:r>
              <w:rPr>
                <w:rFonts w:hint="eastAsia" w:ascii="宋体" w:hAnsi="宋体"/>
                <w:color w:val="000000"/>
                <w:kern w:val="0"/>
                <w:sz w:val="18"/>
                <w:szCs w:val="18"/>
                <w:lang w:val="en-US" w:eastAsia="zh-CN" w:bidi="ar-SA"/>
              </w:rPr>
              <w:t>：顾客沟通-顾客</w:t>
            </w:r>
            <w:r>
              <w:rPr>
                <w:rFonts w:hint="eastAsia" w:hAnsi="宋体"/>
                <w:color w:val="000000"/>
                <w:kern w:val="0"/>
              </w:rPr>
              <w:t>立项-立项评审-招投标-签订合同-业务调研-资料收集-业务分析-出技术咨询方案-编辑报告-报告评审-修改-客户评价验收</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vAlign w:val="top"/>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b/>
                <w:bCs/>
              </w:rPr>
              <w:t>软件开发及维护服务</w:t>
            </w:r>
            <w:r>
              <w:rPr>
                <w:rFonts w:hint="eastAsia"/>
                <w:b/>
                <w:bCs/>
                <w:lang w:eastAsia="zh-CN"/>
              </w:rPr>
              <w:t>、</w:t>
            </w:r>
            <w:r>
              <w:rPr>
                <w:rFonts w:hint="eastAsia"/>
                <w:b/>
                <w:bCs/>
              </w:rPr>
              <w:t>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vAlign w:val="top"/>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b/>
                <w:bCs/>
              </w:rPr>
              <w:t>软件开发及维护服务</w:t>
            </w:r>
            <w:r>
              <w:rPr>
                <w:rFonts w:hint="eastAsia"/>
                <w:b/>
                <w:bCs/>
                <w:lang w:val="en-US" w:eastAsia="zh-CN"/>
              </w:rPr>
              <w:t>控制程序</w:t>
            </w:r>
            <w:r>
              <w:rPr>
                <w:rFonts w:hint="eastAsia"/>
                <w:b/>
                <w:bCs/>
                <w:lang w:eastAsia="zh-CN"/>
              </w:rPr>
              <w:t>、</w:t>
            </w:r>
            <w:r>
              <w:rPr>
                <w:rFonts w:hint="eastAsia"/>
                <w:b/>
                <w:bCs/>
              </w:rPr>
              <w:t>技术咨询服务</w:t>
            </w:r>
            <w:r>
              <w:rPr>
                <w:rFonts w:hint="eastAsia"/>
                <w:b/>
                <w:bCs/>
                <w:lang w:val="en-US" w:eastAsia="zh-CN"/>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vAlign w:val="top"/>
          </w:tcPr>
          <w:p>
            <w:pPr>
              <w:rPr>
                <w:rFonts w:hint="default" w:ascii="宋体" w:eastAsia="宋体"/>
                <w:color w:val="000000"/>
                <w:spacing w:val="-10"/>
                <w:sz w:val="20"/>
                <w:szCs w:val="20"/>
                <w:lang w:val="en-US" w:eastAsia="zh-CN"/>
              </w:rPr>
            </w:pPr>
            <w:r>
              <w:rPr>
                <w:rFonts w:hint="eastAsia" w:ascii="宋体" w:hAnsi="宋体"/>
                <w:color w:val="000000" w:themeColor="text1"/>
                <w:sz w:val="20"/>
                <w:szCs w:val="20"/>
              </w:rPr>
              <w:t>需要确认过程：</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vAlign w:val="top"/>
          </w:tcPr>
          <w:p>
            <w:pPr>
              <w:rPr>
                <w:rFonts w:ascii="宋体"/>
                <w:color w:val="000000"/>
                <w:spacing w:val="-10"/>
                <w:sz w:val="20"/>
                <w:szCs w:val="20"/>
              </w:rPr>
            </w:pP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否明确了过程的确认方法</w:t>
            </w:r>
            <w:r>
              <w:rPr>
                <w:rFonts w:hint="eastAsia" w:ascii="宋体" w:hAnsi="宋体" w:cs="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r>
              <w:rPr>
                <w:rFonts w:hint="eastAsia" w:ascii="宋体" w:hAnsi="宋体"/>
                <w:color w:val="000000" w:themeColor="text1"/>
                <w:spacing w:val="-10"/>
                <w:sz w:val="20"/>
                <w:szCs w:val="20"/>
              </w:rPr>
              <w:t>是</w:t>
            </w:r>
            <w:r>
              <w:rPr>
                <w:rFonts w:hint="eastAsia" w:ascii="宋体"/>
                <w:color w:val="000000" w:themeColor="text1"/>
                <w:sz w:val="20"/>
                <w:szCs w:val="20"/>
              </w:rPr>
              <w:t>否明确了过程的确认准则</w:t>
            </w:r>
            <w:r>
              <w:rPr>
                <w:rFonts w:hint="eastAsia" w:ascii="宋体" w:hAnsi="宋体" w:cs="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rPr>
              <w:t>□</w:t>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hAnsi="宋体" w:eastAsia="宋体" w:cs="宋体"/>
                <w:b w:val="0"/>
                <w:bCs w:val="0"/>
                <w:color w:val="auto"/>
                <w:sz w:val="21"/>
                <w:szCs w:val="21"/>
              </w:rPr>
            </w:pPr>
            <w:r>
              <w:rPr>
                <w:rFonts w:hint="eastAsia" w:ascii="宋体" w:hAnsi="宋体"/>
                <w:color w:val="auto"/>
                <w:spacing w:val="-10"/>
                <w:sz w:val="20"/>
                <w:szCs w:val="20"/>
              </w:rPr>
              <w:t>主要设备：</w:t>
            </w: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default" w:eastAsia="宋体"/>
                <w:lang w:val="en-US" w:eastAsia="zh-CN"/>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ascii="宋体"/>
                <w:color w:val="auto"/>
                <w:spacing w:val="-1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eastAsia="宋体" w:cs="宋体"/>
                <w:color w:val="auto"/>
                <w:sz w:val="20"/>
                <w:szCs w:val="20"/>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auto"/>
                <w:sz w:val="20"/>
                <w:szCs w:val="20"/>
                <w:lang w:eastAsia="zh-CN"/>
              </w:rPr>
            </w:pPr>
            <w:r>
              <w:rPr>
                <w:rFonts w:hint="eastAsia" w:ascii="宋体"/>
                <w:color w:val="auto"/>
                <w:sz w:val="20"/>
                <w:szCs w:val="20"/>
              </w:rPr>
              <w:t>监视和测量设备（请简述主要监视和测量设备）：</w:t>
            </w:r>
            <w:r>
              <w:rPr>
                <w:rFonts w:hint="eastAsia" w:ascii="宋体"/>
                <w:color w:val="000000"/>
                <w:sz w:val="20"/>
                <w:szCs w:val="20"/>
              </w:rPr>
              <w:t>监视和测量设备（请简述主要监视和测量设备）：</w:t>
            </w:r>
            <w:r>
              <w:rPr>
                <w:rFonts w:hint="eastAsia"/>
              </w:rPr>
              <w:t>设计用到 Photoshop，开发用到eclipse，etl等软件工具，运维用到oracle，及 plsql developer 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auto"/>
                <w:sz w:val="20"/>
                <w:szCs w:val="20"/>
              </w:rPr>
            </w:pPr>
            <w:r>
              <w:rPr>
                <w:rFonts w:hint="eastAsia" w:ascii="宋体"/>
                <w:color w:val="auto"/>
                <w:sz w:val="20"/>
                <w:szCs w:val="20"/>
              </w:rPr>
              <w:t>检测设备是否满足要求</w:t>
            </w:r>
            <w:r>
              <w:rPr>
                <w:rFonts w:hint="eastAsia" w:ascii="宋体" w:hAnsi="宋体" w:eastAsia="宋体" w:cs="宋体"/>
                <w:color w:val="auto"/>
                <w:sz w:val="20"/>
                <w:szCs w:val="20"/>
              </w:rPr>
              <w:t>▉</w:t>
            </w:r>
            <w:r>
              <w:rPr>
                <w:rFonts w:hint="eastAsia" w:asci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auto"/>
                <w:sz w:val="20"/>
                <w:szCs w:val="20"/>
              </w:rPr>
            </w:pPr>
            <w:r>
              <w:rPr>
                <w:rFonts w:hint="eastAsia" w:ascii="宋体"/>
                <w:color w:val="000000" w:themeColor="text1"/>
                <w:sz w:val="20"/>
                <w:szCs w:val="20"/>
              </w:rPr>
              <w:t>工作环境干净，阳光充足，办公室内配备有灭火器消防器材，同时公司配备了办公所需的相应的电脑、电话、打印机、传真机等设施，能满足销售社会公共安全设备及器材的需要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eastAsia="宋体" w:cs="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软件开发、技术服务</w:t>
            </w:r>
            <w:r>
              <w:rPr>
                <w:rFonts w:hint="eastAsia" w:ascii="宋体" w:hAnsi="宋体"/>
                <w:b/>
                <w:color w:val="000000"/>
                <w:sz w:val="20"/>
                <w:szCs w:val="20"/>
              </w:rPr>
              <w:t>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技术服务</w:t>
            </w:r>
            <w:r>
              <w:rPr>
                <w:rFonts w:hint="eastAsia" w:ascii="宋体" w:hAnsi="宋体"/>
                <w:b/>
                <w:color w:val="000000"/>
                <w:sz w:val="20"/>
                <w:szCs w:val="2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rPr>
                <w:rFonts w:ascii="宋体" w:hAnsi="宋体"/>
                <w:szCs w:val="21"/>
              </w:rPr>
            </w:pPr>
            <w:r>
              <w:rPr>
                <w:rFonts w:hint="eastAsia" w:ascii="宋体" w:hAnsi="宋体"/>
                <w:szCs w:val="21"/>
                <w:lang w:val="zh-CN"/>
              </w:rPr>
              <w:t>公</w:t>
            </w:r>
            <w:r>
              <w:rPr>
                <w:rFonts w:hint="eastAsia" w:ascii="宋体" w:hAnsi="宋体" w:eastAsia="宋体" w:cs="Times New Roman"/>
                <w:szCs w:val="21"/>
                <w:lang w:val="zh-CN"/>
              </w:rPr>
              <w:t>司于20</w:t>
            </w:r>
            <w:r>
              <w:rPr>
                <w:rFonts w:hint="eastAsia" w:ascii="宋体" w:hAnsi="宋体" w:eastAsia="宋体" w:cs="Times New Roman"/>
                <w:szCs w:val="21"/>
                <w:lang w:val="en-US" w:eastAsia="zh-CN"/>
              </w:rPr>
              <w:t>20</w:t>
            </w:r>
            <w:r>
              <w:rPr>
                <w:rFonts w:hint="eastAsia" w:ascii="宋体" w:hAnsi="宋体" w:eastAsia="宋体" w:cs="Times New Roman"/>
                <w:szCs w:val="21"/>
                <w:lang w:val="zh-CN"/>
              </w:rPr>
              <w:t>年</w:t>
            </w:r>
            <w:r>
              <w:rPr>
                <w:rFonts w:hint="eastAsia" w:ascii="宋体" w:hAnsi="宋体" w:cs="Times New Roman"/>
                <w:szCs w:val="21"/>
                <w:lang w:val="en-US" w:eastAsia="zh-CN"/>
              </w:rPr>
              <w:t>6</w:t>
            </w:r>
            <w:r>
              <w:rPr>
                <w:rFonts w:hint="eastAsia" w:ascii="宋体" w:hAnsi="宋体" w:eastAsia="宋体" w:cs="Times New Roman"/>
                <w:szCs w:val="21"/>
                <w:lang w:val="zh-CN"/>
              </w:rPr>
              <w:t>月</w:t>
            </w:r>
            <w:r>
              <w:rPr>
                <w:rFonts w:hint="eastAsia" w:ascii="宋体" w:hAnsi="宋体" w:cs="Times New Roman"/>
                <w:szCs w:val="21"/>
                <w:lang w:val="en-US" w:eastAsia="zh-CN"/>
              </w:rPr>
              <w:t>10</w:t>
            </w:r>
            <w:r>
              <w:rPr>
                <w:rFonts w:hint="eastAsia" w:ascii="宋体" w:hAnsi="宋体" w:eastAsia="宋体" w:cs="Times New Roman"/>
                <w:szCs w:val="21"/>
                <w:lang w:val="zh-CN"/>
              </w:rPr>
              <w:t>日进行了内部审核，组长：</w:t>
            </w:r>
            <w:r>
              <w:rPr>
                <w:rFonts w:hint="eastAsia"/>
              </w:rPr>
              <w:t>李颖</w:t>
            </w:r>
            <w:r>
              <w:rPr>
                <w:rFonts w:hint="eastAsia" w:ascii="宋体" w:hAnsi="宋体" w:eastAsia="宋体" w:cs="Times New Roman"/>
                <w:szCs w:val="21"/>
                <w:lang w:val="zh-CN"/>
              </w:rPr>
              <w:t xml:space="preserve"> 组员：</w:t>
            </w:r>
            <w:r>
              <w:rPr>
                <w:rFonts w:hint="eastAsia"/>
              </w:rPr>
              <w:t>张丽霞</w:t>
            </w:r>
            <w:r>
              <w:rPr>
                <w:rFonts w:hint="eastAsia" w:ascii="华文中宋" w:hAnsi="华文中宋" w:eastAsia="华文中宋"/>
                <w:color w:val="000000"/>
                <w:sz w:val="24"/>
              </w:rPr>
              <w:t xml:space="preserve"> </w:t>
            </w:r>
            <w:r>
              <w:rPr>
                <w:rFonts w:hint="eastAsia" w:ascii="宋体" w:hAnsi="宋体" w:eastAsia="宋体" w:cs="Times New Roman"/>
                <w:szCs w:val="21"/>
                <w:lang w:val="zh-CN"/>
              </w:rPr>
              <w:t>，均经</w:t>
            </w:r>
            <w:r>
              <w:rPr>
                <w:rFonts w:hint="eastAsia" w:ascii="宋体" w:hAnsi="宋体"/>
                <w:szCs w:val="21"/>
                <w:lang w:val="zh-CN"/>
              </w:rPr>
              <w:t>授权，形成了内部审核报告，审核发现不符合项</w:t>
            </w:r>
            <w:r>
              <w:rPr>
                <w:rFonts w:hint="eastAsia" w:ascii="宋体" w:hAnsi="宋体"/>
                <w:szCs w:val="21"/>
              </w:rPr>
              <w:t>1</w:t>
            </w:r>
            <w:r>
              <w:rPr>
                <w:rFonts w:hint="eastAsia" w:ascii="宋体" w:hAnsi="宋体"/>
                <w:szCs w:val="21"/>
                <w:lang w:val="zh-CN"/>
              </w:rPr>
              <w:t>个，</w:t>
            </w:r>
            <w:r>
              <w:rPr>
                <w:rFonts w:hint="eastAsia" w:ascii="宋体" w:hAnsi="宋体"/>
                <w:szCs w:val="21"/>
              </w:rPr>
              <w:t>一</w:t>
            </w:r>
            <w:r>
              <w:rPr>
                <w:rFonts w:hint="eastAsia" w:ascii="宋体" w:hAnsi="宋体"/>
                <w:szCs w:val="21"/>
                <w:lang w:val="zh-CN"/>
              </w:rPr>
              <w:t>般不符合。审核后责任部门，对不符合项均采取了纠正措施并已进行了验证，全部封闭。</w:t>
            </w:r>
            <w:r>
              <w:rPr>
                <w:rFonts w:hint="eastAsia" w:ascii="宋体" w:hAnsi="宋体"/>
                <w:szCs w:val="21"/>
              </w:rPr>
              <w:t xml:space="preserve"> 详见二阶段审核记录。</w:t>
            </w:r>
          </w:p>
          <w:p>
            <w:pPr>
              <w:pStyle w:val="2"/>
            </w:pPr>
          </w:p>
          <w:p>
            <w:pPr>
              <w:spacing w:line="26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pPr>
            <w:r>
              <w:rPr>
                <w:rFonts w:hint="eastAsia"/>
                <w:b/>
                <w:bCs/>
              </w:rPr>
              <w:t>了解内审是否覆盖了管理体系范围内的活动及标准的要求</w:t>
            </w:r>
            <w:r>
              <w:rPr>
                <w:b/>
                <w:bCs/>
              </w:rPr>
              <w:t>;</w:t>
            </w:r>
            <w:r>
              <w:t xml:space="preserve"> </w:t>
            </w:r>
          </w:p>
          <w:p>
            <w:pPr>
              <w:pStyle w:val="2"/>
              <w:rPr>
                <w:rFonts w:ascii="宋体"/>
                <w:b/>
                <w:color w:val="000000"/>
                <w:sz w:val="20"/>
                <w:szCs w:val="20"/>
              </w:rPr>
            </w:pPr>
            <w:r>
              <w:rPr>
                <w:rFonts w:hint="eastAsia" w:ascii="宋体" w:hAnsi="宋体"/>
                <w:color w:val="000000" w:themeColor="text1"/>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了解内审结论是什么？</w:t>
            </w:r>
          </w:p>
          <w:p>
            <w:pPr>
              <w:spacing w:line="260" w:lineRule="exact"/>
              <w:rPr>
                <w:rFonts w:ascii="宋体" w:hAnsi="宋体"/>
                <w:bCs/>
                <w:szCs w:val="21"/>
              </w:rPr>
            </w:pPr>
            <w:r>
              <w:rPr>
                <w:rFonts w:hint="eastAsia" w:ascii="宋体" w:hAnsi="宋体"/>
                <w:bCs/>
                <w:szCs w:val="21"/>
              </w:rPr>
              <w:t>质量管理体系在此次内部审核范围内，基本符合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w:t>
            </w:r>
            <w:r>
              <w:rPr>
                <w:rFonts w:hint="eastAsia" w:ascii="宋体" w:hAnsi="宋体"/>
                <w:bCs/>
                <w:szCs w:val="21"/>
              </w:rPr>
              <w:t>标准并能得到基本有效的实施，已初步具有防止不符合、满足顾客、相关方要求与法律法规要求的能力，初步具有持续改进的机制。总之，本公司质量管理体运行基本上是有效的。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了解管理评审的策划</w:t>
            </w:r>
            <w:r>
              <w:rPr>
                <w:rFonts w:ascii="宋体" w:hAnsi="宋体"/>
                <w:b/>
                <w:color w:val="000000" w:themeColor="text1"/>
                <w:sz w:val="20"/>
                <w:szCs w:val="20"/>
              </w:rPr>
              <w:t xml:space="preserve">; </w:t>
            </w:r>
          </w:p>
          <w:p>
            <w:pPr>
              <w:spacing w:line="260" w:lineRule="exact"/>
              <w:rPr>
                <w:rFonts w:hint="default" w:ascii="宋体" w:eastAsia="宋体"/>
                <w:b/>
                <w:color w:val="000000"/>
                <w:sz w:val="20"/>
                <w:szCs w:val="20"/>
                <w:lang w:val="en-US" w:eastAsia="zh-CN"/>
              </w:rPr>
            </w:pPr>
            <w:r>
              <w:rPr>
                <w:rFonts w:hint="eastAsia" w:ascii="宋体" w:hAnsi="宋体"/>
                <w:szCs w:val="21"/>
                <w:lang w:val="zh-CN"/>
              </w:rPr>
              <w:t>管理评审时间安排：</w:t>
            </w:r>
            <w:r>
              <w:rPr>
                <w:rFonts w:hint="eastAsia"/>
              </w:rPr>
              <w:t>20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val="en-US" w:eastAsia="zh-CN"/>
              </w:rPr>
              <w:t>28日</w:t>
            </w:r>
            <w:r>
              <w:rPr>
                <w:rFonts w:hint="eastAsia" w:ascii="宋体" w:hAnsi="宋体"/>
                <w:szCs w:val="21"/>
                <w:lang w:val="zh-CN"/>
              </w:rPr>
              <w:t>。管理评审地点：公司会议室，由总经理主持并召开了管理评审，会议由公司最高管理者</w:t>
            </w:r>
            <w:r>
              <w:rPr>
                <w:rFonts w:hint="eastAsia"/>
                <w:lang w:val="en-US" w:eastAsia="zh-CN"/>
              </w:rPr>
              <w:t>白海英</w:t>
            </w:r>
            <w:r>
              <w:rPr>
                <w:rFonts w:hint="eastAsia" w:ascii="宋体" w:hAnsi="宋体"/>
                <w:szCs w:val="21"/>
                <w:lang w:val="zh-CN"/>
              </w:rPr>
              <w:t>总经理主持，会议就本公司的管理方针、管理目标、指标对本公司管理体系的现状的适宜性、充分性和有效性进行了一次全面地、正确地评价。参加本次管理评审会议的有管理者代表、贯标的各职能部门负责人等。</w:t>
            </w:r>
            <w:r>
              <w:rPr>
                <w:rFonts w:hint="eastAsia" w:ascii="宋体" w:hAnsi="宋体"/>
                <w:szCs w:val="21"/>
              </w:rPr>
              <w:t>各部门分别提交了部门运行报告，上述</w:t>
            </w:r>
            <w:r>
              <w:rPr>
                <w:rFonts w:hint="eastAsia" w:ascii="宋体" w:hAnsi="宋体"/>
                <w:szCs w:val="21"/>
                <w:lang w:val="zh-CN"/>
              </w:rPr>
              <w:t>相关证实材料</w:t>
            </w:r>
            <w:r>
              <w:rPr>
                <w:rFonts w:hint="eastAsia" w:ascii="宋体" w:hAnsi="宋体"/>
                <w:szCs w:val="21"/>
              </w:rPr>
              <w:t>所为输入</w:t>
            </w:r>
            <w:r>
              <w:rPr>
                <w:rFonts w:hint="eastAsia" w:ascii="宋体" w:hAnsi="宋体"/>
                <w:szCs w:val="21"/>
                <w:lang w:val="zh-CN"/>
              </w:rPr>
              <w:t>，</w:t>
            </w:r>
            <w:r>
              <w:rPr>
                <w:rFonts w:hint="eastAsia" w:ascii="宋体" w:hAnsi="宋体"/>
                <w:szCs w:val="21"/>
              </w:rPr>
              <w:t>输出为：</w:t>
            </w:r>
            <w:r>
              <w:rPr>
                <w:rFonts w:hint="eastAsia" w:ascii="宋体" w:hAnsi="宋体"/>
                <w:szCs w:val="21"/>
                <w:lang w:val="zh-CN"/>
              </w:rPr>
              <w:t>最终形成《管理评审报告》，</w:t>
            </w:r>
            <w:r>
              <w:rPr>
                <w:rFonts w:hint="eastAsia" w:ascii="宋体" w:hAnsi="宋体"/>
                <w:szCs w:val="21"/>
              </w:rPr>
              <w:t>并提出了改进计划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了解管理评审输入是否充分</w:t>
            </w:r>
            <w:r>
              <w:rPr>
                <w:rFonts w:ascii="宋体" w:hAnsi="宋体"/>
                <w:b/>
                <w:color w:val="000000" w:themeColor="text1"/>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themeColor="text1"/>
                <w:sz w:val="20"/>
                <w:szCs w:val="20"/>
              </w:rPr>
            </w:pPr>
            <w:r>
              <w:rPr>
                <w:rFonts w:hint="eastAsia" w:ascii="宋体" w:hAnsi="宋体"/>
                <w:b/>
                <w:color w:val="000000" w:themeColor="text1"/>
                <w:sz w:val="20"/>
                <w:szCs w:val="20"/>
              </w:rPr>
              <w:t>了解管理评审结论</w:t>
            </w:r>
            <w:r>
              <w:rPr>
                <w:rFonts w:ascii="宋体" w:hAnsi="宋体"/>
                <w:b/>
                <w:color w:val="000000" w:themeColor="text1"/>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是</w:t>
            </w:r>
          </w:p>
          <w:p>
            <w:pPr>
              <w:widowControl/>
              <w:jc w:val="left"/>
              <w:rPr>
                <w:rFonts w:ascii="宋体"/>
                <w:b/>
                <w:color w:val="000000"/>
                <w:szCs w:val="21"/>
              </w:rPr>
            </w:pP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F0A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sym w:font="Wingdings" w:char="00A8"/>
      </w:r>
      <w:r>
        <w:rPr>
          <w:rFonts w:hint="eastAsia" w:ascii="宋体" w:hAnsi="宋体"/>
          <w:b/>
          <w:color w:val="000000"/>
          <w:sz w:val="20"/>
          <w:szCs w:val="20"/>
        </w:rPr>
        <w:t>范围无变化见初定的管理体系认证范围：</w:t>
      </w:r>
      <w:r>
        <w:rPr>
          <w:rFonts w:hint="eastAsia" w:ascii="宋体" w:hAnsi="宋体"/>
          <w:b/>
          <w:sz w:val="20"/>
          <w:szCs w:val="20"/>
        </w:rPr>
        <w:t>紧固件（螺栓  螺母 ）的销售</w:t>
      </w:r>
    </w:p>
    <w:p>
      <w:pPr>
        <w:tabs>
          <w:tab w:val="left" w:pos="360"/>
        </w:tabs>
        <w:ind w:left="361" w:leftChars="96" w:hanging="159" w:hangingChars="79"/>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范围有变化，与组织最终确定二阶段范围是：</w:t>
      </w:r>
      <w:r>
        <w:rPr>
          <w:rFonts w:ascii="宋体"/>
          <w:b/>
          <w:color w:val="000000"/>
          <w:sz w:val="20"/>
          <w:szCs w:val="20"/>
        </w:rPr>
        <w:t xml:space="preserve"> </w:t>
      </w:r>
    </w:p>
    <w:p>
      <w:pPr>
        <w:rPr>
          <w:rFonts w:hint="eastAsia" w:ascii="宋体" w:hAnsi="宋体"/>
          <w:b/>
          <w:bCs/>
          <w:color w:val="FF0000"/>
          <w:szCs w:val="21"/>
          <w:lang w:val="en-US" w:eastAsia="zh-CN"/>
        </w:rPr>
      </w:pPr>
      <w:r>
        <w:rPr>
          <w:rFonts w:ascii="宋体" w:hAnsi="宋体"/>
          <w:b/>
          <w:color w:val="000000"/>
          <w:sz w:val="20"/>
          <w:szCs w:val="20"/>
        </w:rPr>
        <w:t>QMS:_____</w:t>
      </w:r>
      <w:r>
        <w:rPr>
          <w:rFonts w:ascii="宋体" w:hAnsi="宋体"/>
          <w:b/>
          <w:color w:val="000000"/>
          <w:sz w:val="20"/>
          <w:szCs w:val="20"/>
          <w:u w:val="single"/>
        </w:rPr>
        <w:t>_</w:t>
      </w:r>
      <w:r>
        <w:rPr>
          <w:rFonts w:hint="eastAsia" w:ascii="宋体" w:hAnsi="宋体"/>
          <w:b/>
          <w:bCs/>
          <w:color w:val="FF0000"/>
          <w:szCs w:val="21"/>
          <w:u w:val="single"/>
          <w:lang w:val="en-US" w:eastAsia="zh-CN"/>
        </w:rPr>
        <w:t>软件研发及运维、软件技术咨询</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Lines="50"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904875" cy="2311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904875" cy="231140"/>
                    </a:xfrm>
                    <a:prstGeom prst="rect">
                      <a:avLst/>
                    </a:prstGeom>
                    <a:noFill/>
                    <a:ln>
                      <a:noFill/>
                    </a:ln>
                  </pic:spPr>
                </pic:pic>
              </a:graphicData>
            </a:graphic>
          </wp:inline>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inline distT="0" distB="0" distL="114300" distR="114300">
            <wp:extent cx="904875" cy="2311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904875" cy="231140"/>
                    </a:xfrm>
                    <a:prstGeom prst="rect">
                      <a:avLst/>
                    </a:prstGeom>
                    <a:noFill/>
                    <a:ln>
                      <a:noFill/>
                    </a:ln>
                  </pic:spPr>
                </pic:pic>
              </a:graphicData>
            </a:graphic>
          </wp:inline>
        </w:drawing>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w:t>
      </w:r>
      <w:r>
        <w:rPr>
          <w:rFonts w:hint="eastAsia" w:ascii="宋体" w:hAnsi="宋体"/>
          <w:b/>
          <w:color w:val="000000"/>
          <w:lang w:val="en-US" w:eastAsia="zh-CN"/>
        </w:rPr>
        <w:t>8.8</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 xml:space="preserve">李京田  </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2020</w:t>
            </w:r>
            <w:r>
              <w:rPr>
                <w:rFonts w:hint="eastAsia"/>
                <w:b/>
                <w:color w:val="000000"/>
                <w:sz w:val="22"/>
                <w:szCs w:val="22"/>
              </w:rPr>
              <w:t xml:space="preserve">  年 </w:t>
            </w:r>
            <w:r>
              <w:rPr>
                <w:rFonts w:hint="eastAsia"/>
                <w:b/>
                <w:color w:val="000000"/>
                <w:sz w:val="22"/>
                <w:szCs w:val="22"/>
                <w:lang w:val="en-US" w:eastAsia="zh-CN"/>
              </w:rPr>
              <w:t>8</w:t>
            </w:r>
            <w:r>
              <w:rPr>
                <w:rFonts w:hint="eastAsia"/>
                <w:b/>
                <w:color w:val="000000"/>
                <w:sz w:val="22"/>
                <w:szCs w:val="22"/>
              </w:rPr>
              <w:t xml:space="preserve">  月 </w:t>
            </w:r>
            <w:r>
              <w:rPr>
                <w:rFonts w:hint="eastAsia"/>
                <w:b/>
                <w:color w:val="000000"/>
                <w:sz w:val="22"/>
                <w:szCs w:val="22"/>
                <w:lang w:val="en-US" w:eastAsia="zh-CN"/>
              </w:rPr>
              <w:t>8</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李京田     </w:t>
            </w:r>
            <w:r>
              <w:rPr>
                <w:rFonts w:hint="eastAsia"/>
                <w:b/>
                <w:color w:val="000000"/>
                <w:sz w:val="22"/>
                <w:szCs w:val="22"/>
              </w:rPr>
              <w:t>日期：</w:t>
            </w:r>
            <w:r>
              <w:rPr>
                <w:rFonts w:hint="eastAsia"/>
                <w:b/>
                <w:color w:val="000000"/>
                <w:sz w:val="22"/>
                <w:szCs w:val="22"/>
                <w:lang w:val="en-US" w:eastAsia="zh-CN"/>
              </w:rPr>
              <w:t>2020.8.19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Malgun Gothic Semilight"/>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1025" o:spt="75" type="#_x0000_t75" style="position:absolute;left:0pt;margin-left:-0.05pt;margin-top:0.35pt;height:34.1pt;width:32.3pt;mso-wrap-distance-left:9pt;mso-wrap-distance-right:9pt;z-index:-251659264;mso-width-relative:page;mso-height-relative:page;" filled="f" o:preferrelative="t" stroked="f" coordsize="21600,21600" wrapcoords="7033 0 4019 1440 -502 5760 -502 10080 0 15360 502 17280 7033 20640 11051 20640 13060 20640 13563 20640 20093 15360 21098 6240 15070 480 12558 0 7033 0">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1026"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1027" o:spid="_x0000_s1027"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C3BB4"/>
    <w:rsid w:val="00266971"/>
    <w:rsid w:val="004D34DF"/>
    <w:rsid w:val="007E09CB"/>
    <w:rsid w:val="00895328"/>
    <w:rsid w:val="009C3BB4"/>
    <w:rsid w:val="009C6E50"/>
    <w:rsid w:val="00A25EAF"/>
    <w:rsid w:val="00A50224"/>
    <w:rsid w:val="00B6226F"/>
    <w:rsid w:val="00BB7F48"/>
    <w:rsid w:val="00C72535"/>
    <w:rsid w:val="02013C33"/>
    <w:rsid w:val="340B18AC"/>
    <w:rsid w:val="3BDC4EF9"/>
    <w:rsid w:val="47030F72"/>
    <w:rsid w:val="53C94923"/>
    <w:rsid w:val="601A0630"/>
    <w:rsid w:val="638C435B"/>
    <w:rsid w:val="65C036DE"/>
    <w:rsid w:val="6C350244"/>
    <w:rsid w:val="73DF7CB3"/>
    <w:rsid w:val="78BE0BD9"/>
    <w:rsid w:val="7E5B6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link w:val="3"/>
    <w:semiHidden/>
    <w:qFormat/>
    <w:locked/>
    <w:uiPriority w:val="99"/>
    <w:rPr>
      <w:rFonts w:ascii="Times New Roman" w:hAnsi="Times New Roman" w:eastAsia="宋体" w:cs="Times New Roman"/>
      <w:sz w:val="18"/>
      <w:szCs w:val="18"/>
    </w:rPr>
  </w:style>
  <w:style w:type="character" w:customStyle="1" w:styleId="11">
    <w:name w:val="页脚 Char"/>
    <w:link w:val="4"/>
    <w:qFormat/>
    <w:locked/>
    <w:uiPriority w:val="99"/>
    <w:rPr>
      <w:rFonts w:ascii="Times New Roman" w:hAnsi="Times New Roman" w:eastAsia="宋体" w:cs="Times New Roman"/>
      <w:sz w:val="18"/>
      <w:szCs w:val="18"/>
    </w:rPr>
  </w:style>
  <w:style w:type="character" w:customStyle="1" w:styleId="12">
    <w:name w:val="页眉 Char"/>
    <w:link w:val="5"/>
    <w:qFormat/>
    <w:locked/>
    <w:uiPriority w:val="99"/>
    <w:rPr>
      <w:rFonts w:ascii="Calibri" w:hAnsi="Calibri" w:eastAsia="宋体" w:cs="Times New Roman"/>
      <w:sz w:val="18"/>
      <w:szCs w:val="18"/>
    </w:rPr>
  </w:style>
  <w:style w:type="character" w:customStyle="1" w:styleId="13">
    <w:name w:val="副标题 Char"/>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1062</Words>
  <Characters>6059</Characters>
  <Lines>50</Lines>
  <Paragraphs>14</Paragraphs>
  <TotalTime>0</TotalTime>
  <ScaleCrop>false</ScaleCrop>
  <LinksUpToDate>false</LinksUpToDate>
  <CharactersWithSpaces>7107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2020-08-20T12:32:17Z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