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1"/>
          <w:szCs w:val="21"/>
        </w:rPr>
      </w:pPr>
      <w:r>
        <w:rPr>
          <w:rFonts w:hint="eastAsia" w:ascii="隶书" w:hAnsi="宋体" w:eastAsia="隶书"/>
          <w:bCs/>
          <w:color w:val="000000"/>
          <w:sz w:val="21"/>
          <w:szCs w:val="21"/>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6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760" w:type="dxa"/>
            <w:vAlign w:val="center"/>
          </w:tcPr>
          <w:p>
            <w:pPr>
              <w:rPr>
                <w:rFonts w:hint="eastAsia" w:eastAsia="宋体"/>
                <w:sz w:val="21"/>
                <w:szCs w:val="21"/>
                <w:lang w:val="en-US" w:eastAsia="zh-CN"/>
              </w:rPr>
            </w:pPr>
            <w:r>
              <w:rPr>
                <w:rFonts w:hint="eastAsia" w:cs="宋体"/>
                <w:sz w:val="21"/>
                <w:szCs w:val="21"/>
              </w:rPr>
              <w:t>受审核部门：</w:t>
            </w:r>
            <w:r>
              <w:rPr>
                <w:rFonts w:hint="eastAsia"/>
                <w:bCs/>
                <w:sz w:val="21"/>
                <w:szCs w:val="21"/>
              </w:rPr>
              <w:t>高管层</w:t>
            </w:r>
            <w:r>
              <w:rPr>
                <w:sz w:val="21"/>
                <w:szCs w:val="21"/>
              </w:rPr>
              <w:t xml:space="preserve">    </w:t>
            </w:r>
            <w:r>
              <w:rPr>
                <w:rFonts w:hint="eastAsia" w:cs="宋体"/>
                <w:sz w:val="21"/>
                <w:szCs w:val="21"/>
              </w:rPr>
              <w:t>主管领导：</w:t>
            </w:r>
            <w:r>
              <w:rPr>
                <w:rFonts w:hint="eastAsia" w:ascii="宋体" w:hAnsi="宋体"/>
                <w:sz w:val="21"/>
                <w:szCs w:val="21"/>
              </w:rPr>
              <w:t>佘丽花</w:t>
            </w:r>
            <w:r>
              <w:rPr>
                <w:sz w:val="21"/>
                <w:szCs w:val="21"/>
              </w:rPr>
              <w:t xml:space="preserve">     </w:t>
            </w:r>
            <w:r>
              <w:rPr>
                <w:rFonts w:hint="eastAsia" w:cs="宋体"/>
                <w:sz w:val="21"/>
                <w:szCs w:val="21"/>
              </w:rPr>
              <w:t>陪同人员：</w:t>
            </w:r>
            <w:r>
              <w:rPr>
                <w:rFonts w:hint="eastAsia"/>
                <w:sz w:val="21"/>
                <w:szCs w:val="21"/>
              </w:rPr>
              <w:t xml:space="preserve"> </w:t>
            </w:r>
            <w:r>
              <w:rPr>
                <w:rFonts w:hint="eastAsia"/>
                <w:sz w:val="21"/>
                <w:szCs w:val="21"/>
                <w:lang w:eastAsia="zh-CN"/>
              </w:rPr>
              <w:t>各部门负责人、员工代表</w:t>
            </w:r>
          </w:p>
        </w:tc>
        <w:tc>
          <w:tcPr>
            <w:tcW w:w="829"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760" w:type="dxa"/>
            <w:vAlign w:val="center"/>
          </w:tcPr>
          <w:p>
            <w:pPr>
              <w:spacing w:before="120"/>
              <w:rPr>
                <w:rFonts w:hint="eastAsia" w:eastAsia="宋体"/>
                <w:sz w:val="21"/>
                <w:szCs w:val="21"/>
                <w:lang w:val="en-US" w:eastAsia="zh-CN"/>
              </w:rPr>
            </w:pPr>
            <w:r>
              <w:rPr>
                <w:rFonts w:hint="eastAsia" w:cs="宋体"/>
                <w:sz w:val="21"/>
                <w:szCs w:val="21"/>
              </w:rPr>
              <w:t>审核员：</w:t>
            </w:r>
            <w:r>
              <w:rPr>
                <w:rFonts w:hint="eastAsia" w:cs="宋体"/>
                <w:sz w:val="21"/>
                <w:szCs w:val="21"/>
                <w:lang w:eastAsia="zh-CN"/>
              </w:rPr>
              <w:t>王志慧</w:t>
            </w:r>
            <w:r>
              <w:rPr>
                <w:rFonts w:hint="eastAsia" w:cs="宋体"/>
                <w:sz w:val="21"/>
                <w:szCs w:val="21"/>
              </w:rPr>
              <w:t xml:space="preserve"> </w:t>
            </w:r>
            <w:r>
              <w:rPr>
                <w:sz w:val="21"/>
                <w:szCs w:val="21"/>
              </w:rPr>
              <w:t xml:space="preserve">      </w:t>
            </w:r>
            <w:r>
              <w:rPr>
                <w:rFonts w:hint="eastAsia" w:cs="宋体"/>
                <w:sz w:val="21"/>
                <w:szCs w:val="21"/>
              </w:rPr>
              <w:t>审核时间：</w:t>
            </w:r>
            <w:r>
              <w:rPr>
                <w:rFonts w:hint="eastAsia"/>
                <w:sz w:val="21"/>
                <w:szCs w:val="21"/>
              </w:rPr>
              <w:t>2020.0</w:t>
            </w:r>
            <w:r>
              <w:rPr>
                <w:sz w:val="21"/>
                <w:szCs w:val="21"/>
              </w:rPr>
              <w:t>8</w:t>
            </w:r>
            <w:r>
              <w:rPr>
                <w:rFonts w:hint="eastAsia"/>
                <w:sz w:val="21"/>
                <w:szCs w:val="21"/>
              </w:rPr>
              <w:t>.</w:t>
            </w:r>
            <w:r>
              <w:rPr>
                <w:sz w:val="21"/>
                <w:szCs w:val="21"/>
              </w:rPr>
              <w:t>1</w:t>
            </w:r>
            <w:r>
              <w:rPr>
                <w:rFonts w:hint="eastAsia"/>
                <w:sz w:val="21"/>
                <w:szCs w:val="21"/>
                <w:lang w:val="en-US" w:eastAsia="zh-CN"/>
              </w:rPr>
              <w:t>0</w:t>
            </w:r>
          </w:p>
        </w:tc>
        <w:tc>
          <w:tcPr>
            <w:tcW w:w="82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760" w:type="dxa"/>
            <w:vAlign w:val="center"/>
          </w:tcPr>
          <w:p>
            <w:pPr>
              <w:rPr>
                <w:sz w:val="21"/>
                <w:szCs w:val="21"/>
              </w:rPr>
            </w:pPr>
            <w:r>
              <w:rPr>
                <w:rFonts w:hint="eastAsia"/>
                <w:sz w:val="21"/>
                <w:szCs w:val="21"/>
              </w:rPr>
              <w:t>审核条款：</w:t>
            </w:r>
          </w:p>
        </w:tc>
        <w:tc>
          <w:tcPr>
            <w:tcW w:w="82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 w:val="21"/>
                <w:szCs w:val="21"/>
              </w:rPr>
            </w:pPr>
            <w:r>
              <w:rPr>
                <w:rFonts w:hint="eastAsia" w:cs="宋体"/>
                <w:color w:val="auto"/>
                <w:sz w:val="21"/>
                <w:szCs w:val="21"/>
              </w:rPr>
              <w:t>组织及其环境</w:t>
            </w:r>
          </w:p>
        </w:tc>
        <w:tc>
          <w:tcPr>
            <w:tcW w:w="960" w:type="dxa"/>
            <w:vAlign w:val="center"/>
          </w:tcPr>
          <w:p>
            <w:pPr>
              <w:rPr>
                <w:rFonts w:hint="eastAsia"/>
                <w:color w:val="auto"/>
                <w:sz w:val="21"/>
                <w:szCs w:val="21"/>
              </w:rPr>
            </w:pPr>
            <w:r>
              <w:rPr>
                <w:color w:val="auto"/>
                <w:sz w:val="21"/>
                <w:szCs w:val="21"/>
              </w:rPr>
              <w:t>QE</w:t>
            </w:r>
            <w:r>
              <w:rPr>
                <w:rFonts w:hint="eastAsia"/>
                <w:color w:val="auto"/>
                <w:sz w:val="21"/>
                <w:szCs w:val="21"/>
              </w:rPr>
              <w:t>O</w:t>
            </w:r>
          </w:p>
          <w:p>
            <w:pPr>
              <w:rPr>
                <w:sz w:val="21"/>
                <w:szCs w:val="21"/>
              </w:rPr>
            </w:pPr>
            <w:r>
              <w:rPr>
                <w:rFonts w:hint="eastAsia"/>
                <w:color w:val="auto"/>
                <w:sz w:val="21"/>
                <w:szCs w:val="21"/>
              </w:rPr>
              <w:t>4.1</w:t>
            </w:r>
          </w:p>
        </w:tc>
        <w:tc>
          <w:tcPr>
            <w:tcW w:w="10760" w:type="dxa"/>
            <w:vAlign w:val="center"/>
          </w:tcPr>
          <w:p>
            <w:pPr>
              <w:spacing w:before="156" w:beforeLines="50"/>
              <w:ind w:firstLine="420" w:firstLineChars="200"/>
              <w:rPr>
                <w:rFonts w:hint="eastAsia" w:eastAsia="宋体" w:cs="宋体"/>
                <w:color w:val="auto"/>
                <w:sz w:val="21"/>
                <w:szCs w:val="21"/>
                <w:lang w:val="en-US" w:eastAsia="zh-CN"/>
              </w:rPr>
            </w:pPr>
            <w:r>
              <w:rPr>
                <w:rFonts w:cs="宋体"/>
                <w:color w:val="auto"/>
                <w:sz w:val="21"/>
                <w:szCs w:val="21"/>
              </w:rPr>
              <w:t>受审核方</w:t>
            </w:r>
            <w:r>
              <w:rPr>
                <w:rFonts w:hint="eastAsia" w:cs="宋体"/>
                <w:color w:val="auto"/>
                <w:sz w:val="21"/>
                <w:szCs w:val="21"/>
              </w:rPr>
              <w:t>中方联合停车管理有限公司成立于2008年，注册资金5000万元，</w:t>
            </w:r>
            <w:r>
              <w:rPr>
                <w:rFonts w:cs="宋体"/>
                <w:color w:val="auto"/>
                <w:sz w:val="21"/>
                <w:szCs w:val="21"/>
              </w:rPr>
              <w:t>，注册地位于</w:t>
            </w:r>
            <w:r>
              <w:rPr>
                <w:rFonts w:hint="eastAsia" w:cs="宋体"/>
                <w:color w:val="auto"/>
                <w:sz w:val="21"/>
                <w:szCs w:val="21"/>
              </w:rPr>
              <w:t>北京市朝阳区慈云寺1号院3号楼1层106</w:t>
            </w:r>
            <w:r>
              <w:rPr>
                <w:rFonts w:cs="宋体"/>
                <w:color w:val="auto"/>
                <w:sz w:val="21"/>
                <w:szCs w:val="21"/>
              </w:rPr>
              <w:t>，法定代表人为</w:t>
            </w:r>
            <w:r>
              <w:rPr>
                <w:rFonts w:hint="eastAsia" w:cs="宋体"/>
                <w:color w:val="auto"/>
                <w:sz w:val="21"/>
                <w:szCs w:val="21"/>
              </w:rPr>
              <w:t>佘丽花</w:t>
            </w:r>
            <w:r>
              <w:rPr>
                <w:rFonts w:cs="宋体"/>
                <w:color w:val="auto"/>
                <w:sz w:val="21"/>
                <w:szCs w:val="21"/>
              </w:rPr>
              <w:t>。经营范围包括</w:t>
            </w:r>
            <w:r>
              <w:rPr>
                <w:rFonts w:hint="eastAsia" w:cs="宋体"/>
                <w:color w:val="auto"/>
                <w:sz w:val="21"/>
                <w:szCs w:val="21"/>
              </w:rPr>
              <w:t>机动车公共停车场服务</w:t>
            </w:r>
            <w:r>
              <w:rPr>
                <w:rFonts w:hint="eastAsia" w:cs="宋体"/>
                <w:color w:val="auto"/>
                <w:sz w:val="21"/>
                <w:szCs w:val="21"/>
                <w:lang w:eastAsia="zh-CN"/>
              </w:rPr>
              <w:t>等；</w:t>
            </w:r>
          </w:p>
          <w:p>
            <w:pPr>
              <w:spacing w:before="156" w:beforeLines="50"/>
              <w:rPr>
                <w:rFonts w:cs="宋体"/>
                <w:color w:val="auto"/>
                <w:sz w:val="21"/>
                <w:szCs w:val="21"/>
              </w:rPr>
            </w:pPr>
            <w:r>
              <w:rPr>
                <w:rFonts w:hint="eastAsia" w:cs="宋体"/>
                <w:color w:val="auto"/>
                <w:sz w:val="21"/>
                <w:szCs w:val="21"/>
              </w:rPr>
              <w:t>公司地址：北京市朝阳区慈云寺1号院3号楼1层106</w:t>
            </w:r>
          </w:p>
          <w:p>
            <w:pPr>
              <w:spacing w:before="156" w:beforeLines="50"/>
              <w:ind w:firstLine="420" w:firstLineChars="200"/>
              <w:rPr>
                <w:rFonts w:cs="宋体"/>
                <w:color w:val="auto"/>
                <w:sz w:val="21"/>
                <w:szCs w:val="21"/>
              </w:rPr>
            </w:pPr>
            <w:r>
              <w:rPr>
                <w:rFonts w:hint="eastAsia" w:cs="宋体"/>
                <w:color w:val="auto"/>
                <w:sz w:val="21"/>
                <w:szCs w:val="21"/>
              </w:rPr>
              <w:t xml:space="preserve">公司环境概述 地理位置：公司地处北京市，交通非常便利，周边为居民区，附近有其它企业和小型餐饮业场所。 </w:t>
            </w:r>
          </w:p>
          <w:p>
            <w:pPr>
              <w:spacing w:before="156" w:beforeLines="50"/>
              <w:ind w:firstLine="420" w:firstLineChars="200"/>
              <w:rPr>
                <w:sz w:val="21"/>
                <w:szCs w:val="21"/>
              </w:rPr>
            </w:pPr>
            <w:r>
              <w:rPr>
                <w:rFonts w:hint="eastAsia" w:cs="宋体"/>
                <w:color w:val="auto"/>
                <w:sz w:val="21"/>
                <w:szCs w:val="21"/>
              </w:rPr>
              <w:t xml:space="preserve">国内国际市场：公司隶属机动车公共停车场管理服务的企业。公司的顾客遍布全国各地，竞争对手主要是国内企业。 </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 w:val="21"/>
                <w:szCs w:val="21"/>
              </w:rPr>
            </w:pPr>
            <w:r>
              <w:rPr>
                <w:bCs/>
                <w:sz w:val="21"/>
                <w:szCs w:val="21"/>
              </w:rPr>
              <w:t>相关方的需求和希望</w:t>
            </w:r>
          </w:p>
        </w:tc>
        <w:tc>
          <w:tcPr>
            <w:tcW w:w="960" w:type="dxa"/>
            <w:vAlign w:val="center"/>
          </w:tcPr>
          <w:p>
            <w:pPr>
              <w:rPr>
                <w:rFonts w:hint="eastAsia"/>
                <w:sz w:val="21"/>
                <w:szCs w:val="21"/>
              </w:rPr>
            </w:pPr>
            <w:r>
              <w:rPr>
                <w:sz w:val="21"/>
                <w:szCs w:val="21"/>
              </w:rPr>
              <w:t>QE</w:t>
            </w:r>
            <w:r>
              <w:rPr>
                <w:rFonts w:hint="eastAsia"/>
                <w:sz w:val="21"/>
                <w:szCs w:val="21"/>
              </w:rPr>
              <w:t>O</w:t>
            </w:r>
          </w:p>
          <w:p>
            <w:pPr>
              <w:rPr>
                <w:sz w:val="21"/>
                <w:szCs w:val="21"/>
              </w:rPr>
            </w:pPr>
            <w:r>
              <w:rPr>
                <w:rFonts w:hint="eastAsia"/>
                <w:sz w:val="21"/>
                <w:szCs w:val="21"/>
              </w:rPr>
              <w:t>4.2</w:t>
            </w:r>
          </w:p>
        </w:tc>
        <w:tc>
          <w:tcPr>
            <w:tcW w:w="10760" w:type="dxa"/>
            <w:vAlign w:val="center"/>
          </w:tcPr>
          <w:p>
            <w:pPr>
              <w:spacing w:before="156" w:beforeLines="50"/>
              <w:ind w:firstLine="420" w:firstLineChars="200"/>
              <w:rPr>
                <w:rFonts w:hint="eastAsia" w:cs="宋体"/>
                <w:color w:val="auto"/>
                <w:sz w:val="21"/>
                <w:szCs w:val="21"/>
              </w:rPr>
            </w:pPr>
            <w:r>
              <w:rPr>
                <w:rFonts w:hint="eastAsia" w:cs="宋体"/>
                <w:color w:val="auto"/>
                <w:sz w:val="21"/>
                <w:szCs w:val="21"/>
              </w:rPr>
              <w:t>公司建立和保持《组织环境与相关方要求管理程序》，以理解相关方的需求和期望以便帮助本公司更好的建立清晰的方针和目标，做到目的明确；由于相关方对企业持续提供符合顾客要求和适用法律法规要求的产品和服务的能力产生影响或潜在影响，因此，公司确定相关方的要求：</w:t>
            </w:r>
          </w:p>
          <w:p>
            <w:pPr>
              <w:spacing w:before="156" w:beforeLines="50"/>
              <w:rPr>
                <w:rFonts w:hint="eastAsia" w:cs="宋体"/>
                <w:color w:val="auto"/>
                <w:sz w:val="21"/>
                <w:szCs w:val="21"/>
              </w:rPr>
            </w:pPr>
            <w:r>
              <w:rPr>
                <w:rFonts w:hint="eastAsia" w:cs="宋体"/>
                <w:color w:val="auto"/>
                <w:sz w:val="21"/>
                <w:szCs w:val="21"/>
              </w:rPr>
              <w:t>与管理体系有关的相关方；</w:t>
            </w:r>
          </w:p>
          <w:p>
            <w:pPr>
              <w:spacing w:before="156" w:beforeLines="50"/>
              <w:rPr>
                <w:sz w:val="21"/>
                <w:szCs w:val="21"/>
              </w:rPr>
            </w:pPr>
            <w:r>
              <w:rPr>
                <w:rFonts w:hint="eastAsia" w:cs="宋体"/>
                <w:color w:val="auto"/>
                <w:sz w:val="21"/>
                <w:szCs w:val="21"/>
              </w:rPr>
              <w:t>包括：顾客、所有者、组织中的成员、供应商、银行、工会、竞争对手或社会团体或行业协会等。</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 w:val="21"/>
                <w:szCs w:val="21"/>
              </w:rPr>
            </w:pPr>
            <w:r>
              <w:rPr>
                <w:rFonts w:hint="eastAsia" w:cs="宋体"/>
                <w:sz w:val="21"/>
                <w:szCs w:val="21"/>
              </w:rPr>
              <w:t>管理体系的范围</w:t>
            </w:r>
          </w:p>
        </w:tc>
        <w:tc>
          <w:tcPr>
            <w:tcW w:w="960" w:type="dxa"/>
            <w:vAlign w:val="center"/>
          </w:tcPr>
          <w:p>
            <w:pPr>
              <w:rPr>
                <w:rFonts w:hint="eastAsia"/>
                <w:color w:val="auto"/>
                <w:sz w:val="21"/>
                <w:szCs w:val="21"/>
              </w:rPr>
            </w:pPr>
            <w:r>
              <w:rPr>
                <w:color w:val="auto"/>
                <w:sz w:val="21"/>
                <w:szCs w:val="21"/>
              </w:rPr>
              <w:t>QE</w:t>
            </w:r>
            <w:r>
              <w:rPr>
                <w:rFonts w:hint="eastAsia"/>
                <w:color w:val="auto"/>
                <w:sz w:val="21"/>
                <w:szCs w:val="21"/>
              </w:rPr>
              <w:t>O</w:t>
            </w:r>
          </w:p>
          <w:p>
            <w:pPr>
              <w:rPr>
                <w:sz w:val="21"/>
                <w:szCs w:val="21"/>
              </w:rPr>
            </w:pPr>
            <w:r>
              <w:rPr>
                <w:rFonts w:hint="eastAsia"/>
                <w:color w:val="auto"/>
                <w:sz w:val="21"/>
                <w:szCs w:val="21"/>
              </w:rPr>
              <w:t>4.3</w:t>
            </w:r>
          </w:p>
        </w:tc>
        <w:tc>
          <w:tcPr>
            <w:tcW w:w="10760" w:type="dxa"/>
            <w:vAlign w:val="center"/>
          </w:tcPr>
          <w:p>
            <w:pPr>
              <w:spacing w:before="156" w:beforeLines="50"/>
              <w:rPr>
                <w:rFonts w:cs="宋体"/>
                <w:color w:val="auto"/>
                <w:sz w:val="21"/>
                <w:szCs w:val="21"/>
              </w:rPr>
            </w:pPr>
            <w:r>
              <w:rPr>
                <w:rFonts w:hint="eastAsia" w:cs="宋体"/>
                <w:color w:val="auto"/>
                <w:sz w:val="21"/>
                <w:szCs w:val="21"/>
              </w:rPr>
              <w:t>公司质量/环境/职业健康安全管理体系范围，依据以下考虑：</w:t>
            </w:r>
          </w:p>
          <w:p>
            <w:pPr>
              <w:spacing w:before="156" w:beforeLines="50"/>
              <w:rPr>
                <w:rFonts w:hint="eastAsia" w:cs="宋体"/>
                <w:color w:val="auto"/>
                <w:sz w:val="21"/>
                <w:szCs w:val="21"/>
              </w:rPr>
            </w:pPr>
            <w:r>
              <w:rPr>
                <w:rFonts w:hint="eastAsia" w:cs="宋体"/>
                <w:color w:val="auto"/>
                <w:sz w:val="21"/>
                <w:szCs w:val="21"/>
              </w:rPr>
              <w:t>各种内部和外部因素，见4.1；相关方的要求。见4.2；公司的产品和服务。</w:t>
            </w:r>
          </w:p>
          <w:p>
            <w:pPr>
              <w:spacing w:before="156" w:beforeLines="50"/>
              <w:rPr>
                <w:sz w:val="21"/>
                <w:szCs w:val="21"/>
              </w:rPr>
            </w:pPr>
            <w:r>
              <w:rPr>
                <w:rFonts w:hint="eastAsia" w:cs="宋体"/>
                <w:color w:val="auto"/>
                <w:sz w:val="21"/>
                <w:szCs w:val="21"/>
              </w:rPr>
              <w:t>本公司质量/环境/职业健康安全管理体系的范围为：机动车公共停车场管理服务的企业。与审核范围一致</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s="宋体"/>
                <w:sz w:val="21"/>
                <w:szCs w:val="21"/>
              </w:rPr>
            </w:pPr>
            <w:r>
              <w:rPr>
                <w:rFonts w:hint="eastAsia" w:cs="宋体"/>
                <w:color w:val="auto"/>
                <w:sz w:val="21"/>
                <w:szCs w:val="21"/>
              </w:rPr>
              <w:t>管理体系及其过程</w:t>
            </w:r>
          </w:p>
        </w:tc>
        <w:tc>
          <w:tcPr>
            <w:tcW w:w="960" w:type="dxa"/>
            <w:vAlign w:val="center"/>
          </w:tcPr>
          <w:p>
            <w:pPr>
              <w:rPr>
                <w:rFonts w:hint="eastAsia"/>
                <w:color w:val="auto"/>
                <w:sz w:val="21"/>
                <w:szCs w:val="21"/>
              </w:rPr>
            </w:pPr>
            <w:r>
              <w:rPr>
                <w:color w:val="auto"/>
                <w:sz w:val="21"/>
                <w:szCs w:val="21"/>
              </w:rPr>
              <w:t>QE</w:t>
            </w:r>
            <w:r>
              <w:rPr>
                <w:rFonts w:hint="eastAsia"/>
                <w:color w:val="auto"/>
                <w:sz w:val="21"/>
                <w:szCs w:val="21"/>
              </w:rPr>
              <w:t>O</w:t>
            </w:r>
          </w:p>
          <w:p>
            <w:pPr>
              <w:rPr>
                <w:rFonts w:hint="eastAsia"/>
                <w:color w:val="auto"/>
                <w:sz w:val="21"/>
                <w:szCs w:val="21"/>
              </w:rPr>
            </w:pPr>
            <w:r>
              <w:rPr>
                <w:rFonts w:hint="eastAsia"/>
                <w:color w:val="auto"/>
                <w:sz w:val="21"/>
                <w:szCs w:val="21"/>
              </w:rPr>
              <w:t>4.4</w:t>
            </w:r>
          </w:p>
        </w:tc>
        <w:tc>
          <w:tcPr>
            <w:tcW w:w="10760" w:type="dxa"/>
            <w:vAlign w:val="center"/>
          </w:tcPr>
          <w:p>
            <w:pPr>
              <w:spacing w:before="156" w:beforeLines="50"/>
              <w:rPr>
                <w:rFonts w:hint="eastAsia" w:cs="宋体"/>
                <w:color w:val="FF0000"/>
                <w:sz w:val="21"/>
                <w:szCs w:val="21"/>
              </w:rPr>
            </w:pPr>
            <w:r>
              <w:rPr>
                <w:rFonts w:hint="eastAsia"/>
                <w:color w:val="FF0000"/>
                <w:sz w:val="24"/>
                <w:szCs w:val="24"/>
              </w:rPr>
              <w:t>管理手册中提到了《产品标识和可追溯性程序》，但</w:t>
            </w:r>
            <w:r>
              <w:rPr>
                <w:rFonts w:hint="eastAsia"/>
                <w:color w:val="FF0000"/>
                <w:sz w:val="24"/>
                <w:szCs w:val="24"/>
                <w:lang w:eastAsia="zh-CN"/>
              </w:rPr>
              <w:t>企业提交的</w:t>
            </w:r>
            <w:r>
              <w:rPr>
                <w:rFonts w:hint="eastAsia"/>
                <w:color w:val="FF0000"/>
                <w:sz w:val="24"/>
                <w:szCs w:val="24"/>
              </w:rPr>
              <w:t>程序文件中</w:t>
            </w:r>
            <w:r>
              <w:rPr>
                <w:rFonts w:hint="eastAsia"/>
                <w:color w:val="FF0000"/>
                <w:sz w:val="24"/>
                <w:szCs w:val="24"/>
                <w:lang w:eastAsia="zh-CN"/>
              </w:rPr>
              <w:t>无</w:t>
            </w:r>
            <w:r>
              <w:rPr>
                <w:rFonts w:hint="eastAsia"/>
                <w:color w:val="FF0000"/>
                <w:sz w:val="24"/>
                <w:szCs w:val="24"/>
              </w:rPr>
              <w:t>《产品标识和可追溯性程序》</w:t>
            </w:r>
            <w:r>
              <w:rPr>
                <w:rFonts w:hint="eastAsia"/>
                <w:color w:val="FF0000"/>
                <w:sz w:val="24"/>
                <w:szCs w:val="24"/>
                <w:lang w:eastAsia="zh-CN"/>
              </w:rPr>
              <w:t>？</w:t>
            </w:r>
          </w:p>
        </w:tc>
        <w:tc>
          <w:tcPr>
            <w:tcW w:w="829" w:type="dxa"/>
          </w:tcPr>
          <w:p>
            <w:pPr>
              <w:rPr>
                <w:rFonts w:hint="default" w:eastAsia="宋体"/>
                <w:color w:val="FF0000"/>
                <w:sz w:val="21"/>
                <w:szCs w:val="21"/>
                <w:lang w:val="en-US" w:eastAsia="zh-CN"/>
              </w:rPr>
            </w:pPr>
            <w:r>
              <w:rPr>
                <w:rFonts w:hint="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00" w:lineRule="exact"/>
              <w:rPr>
                <w:rFonts w:hint="eastAsia" w:cs="宋体"/>
                <w:sz w:val="21"/>
                <w:szCs w:val="21"/>
              </w:rPr>
            </w:pPr>
            <w:r>
              <w:rPr>
                <w:bCs/>
                <w:color w:val="auto"/>
                <w:sz w:val="21"/>
                <w:szCs w:val="21"/>
              </w:rPr>
              <w:t>管理方针</w:t>
            </w:r>
            <w:r>
              <w:rPr>
                <w:b/>
                <w:bCs/>
                <w:color w:val="auto"/>
                <w:sz w:val="21"/>
                <w:szCs w:val="21"/>
              </w:rPr>
              <w:t xml:space="preserve"> </w:t>
            </w:r>
          </w:p>
        </w:tc>
        <w:tc>
          <w:tcPr>
            <w:tcW w:w="960" w:type="dxa"/>
            <w:vAlign w:val="center"/>
          </w:tcPr>
          <w:p>
            <w:pPr>
              <w:rPr>
                <w:rFonts w:hint="eastAsia"/>
                <w:color w:val="auto"/>
                <w:sz w:val="21"/>
                <w:szCs w:val="21"/>
              </w:rPr>
            </w:pPr>
            <w:r>
              <w:rPr>
                <w:color w:val="auto"/>
                <w:sz w:val="21"/>
                <w:szCs w:val="21"/>
              </w:rPr>
              <w:t>QE</w:t>
            </w:r>
            <w:r>
              <w:rPr>
                <w:rFonts w:hint="eastAsia"/>
                <w:color w:val="auto"/>
                <w:sz w:val="21"/>
                <w:szCs w:val="21"/>
              </w:rPr>
              <w:t>O</w:t>
            </w:r>
          </w:p>
          <w:p>
            <w:pPr>
              <w:rPr>
                <w:rFonts w:hint="eastAsia"/>
                <w:color w:val="auto"/>
                <w:sz w:val="21"/>
                <w:szCs w:val="21"/>
              </w:rPr>
            </w:pPr>
            <w:r>
              <w:rPr>
                <w:color w:val="auto"/>
                <w:sz w:val="21"/>
                <w:szCs w:val="21"/>
              </w:rPr>
              <w:t>5.2</w:t>
            </w:r>
          </w:p>
        </w:tc>
        <w:tc>
          <w:tcPr>
            <w:tcW w:w="10760" w:type="dxa"/>
            <w:vAlign w:val="center"/>
          </w:tcPr>
          <w:p>
            <w:pPr>
              <w:spacing w:before="156" w:beforeLines="50"/>
              <w:rPr>
                <w:rFonts w:hint="eastAsia" w:cs="宋体"/>
                <w:color w:val="auto"/>
                <w:sz w:val="21"/>
                <w:szCs w:val="21"/>
              </w:rPr>
            </w:pPr>
            <w:r>
              <w:rPr>
                <w:rFonts w:hint="eastAsia" w:cs="宋体"/>
                <w:color w:val="auto"/>
                <w:sz w:val="21"/>
                <w:szCs w:val="21"/>
              </w:rPr>
              <w:t xml:space="preserve">总经理制定、实施和保持公司QEO管理方针： </w:t>
            </w:r>
          </w:p>
          <w:p>
            <w:pPr>
              <w:rPr>
                <w:rFonts w:hint="eastAsia" w:cs="宋体"/>
                <w:color w:val="auto"/>
                <w:sz w:val="21"/>
                <w:szCs w:val="21"/>
              </w:rPr>
            </w:pPr>
            <w:r>
              <w:rPr>
                <w:rFonts w:hint="eastAsia" w:cs="宋体"/>
                <w:color w:val="auto"/>
                <w:sz w:val="21"/>
                <w:szCs w:val="21"/>
              </w:rPr>
              <w:t>“诚信务实服务，追求顾客满意；遵守法律法规，提高环境意识；</w:t>
            </w:r>
          </w:p>
          <w:p>
            <w:pPr>
              <w:rPr>
                <w:rFonts w:hint="eastAsia" w:cs="宋体"/>
                <w:color w:val="auto"/>
                <w:sz w:val="21"/>
                <w:szCs w:val="21"/>
              </w:rPr>
            </w:pPr>
            <w:r>
              <w:rPr>
                <w:rFonts w:hint="eastAsia" w:cs="宋体"/>
                <w:color w:val="auto"/>
                <w:sz w:val="21"/>
                <w:szCs w:val="21"/>
              </w:rPr>
              <w:t>关爱员工健康，预防安全为主；永远追求卓越，不断持续改进。”。</w:t>
            </w:r>
          </w:p>
          <w:p>
            <w:pPr>
              <w:spacing w:before="156" w:beforeLines="50"/>
              <w:rPr>
                <w:rFonts w:hint="eastAsia" w:cs="宋体"/>
                <w:color w:val="auto"/>
                <w:sz w:val="21"/>
                <w:szCs w:val="21"/>
              </w:rPr>
            </w:pPr>
            <w:r>
              <w:rPr>
                <w:rFonts w:hint="eastAsia" w:cs="宋体"/>
                <w:color w:val="auto"/>
                <w:sz w:val="21"/>
                <w:szCs w:val="21"/>
              </w:rPr>
              <w:t>基本涵盖了企业诚实诚信为顾客提供服务的态度，安全意识、质量至上，保护环境的理念，不断进取，准求卓越是我公司全体员工永不停止、坚定信念、为之奋斗的目标的要求。</w:t>
            </w:r>
          </w:p>
          <w:p>
            <w:pPr>
              <w:spacing w:before="156" w:beforeLines="50"/>
              <w:rPr>
                <w:rFonts w:hint="eastAsia" w:cs="宋体"/>
                <w:color w:val="auto"/>
                <w:sz w:val="21"/>
                <w:szCs w:val="21"/>
              </w:rPr>
            </w:pPr>
            <w:r>
              <w:rPr>
                <w:rFonts w:hint="eastAsia" w:cs="宋体"/>
                <w:color w:val="auto"/>
                <w:sz w:val="21"/>
                <w:szCs w:val="21"/>
              </w:rPr>
              <w:t>管理方针与企业的经营宗旨相适应，通过会议传达，沟通、协调，让全体员工理解执行。并定期进行评审。</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center"/>
          </w:tcPr>
          <w:p>
            <w:pPr>
              <w:pBdr>
                <w:bottom w:val="none" w:color="auto" w:sz="0" w:space="0"/>
              </w:pBdr>
              <w:ind w:right="600" w:rightChars="0"/>
              <w:jc w:val="both"/>
              <w:rPr>
                <w:bCs/>
                <w:color w:val="auto"/>
                <w:sz w:val="21"/>
                <w:szCs w:val="21"/>
              </w:rPr>
            </w:pPr>
            <w:r>
              <w:rPr>
                <w:rFonts w:hint="eastAsia"/>
                <w:color w:val="000000"/>
                <w:sz w:val="24"/>
                <w:szCs w:val="24"/>
              </w:rPr>
              <w:t>职责</w:t>
            </w:r>
            <w:r>
              <w:rPr>
                <w:rFonts w:hint="eastAsia"/>
                <w:color w:val="000000"/>
                <w:sz w:val="24"/>
                <w:szCs w:val="24"/>
                <w:lang w:eastAsia="zh-CN"/>
              </w:rPr>
              <w:t>权限</w:t>
            </w:r>
          </w:p>
        </w:tc>
        <w:tc>
          <w:tcPr>
            <w:tcW w:w="960" w:type="dxa"/>
            <w:vAlign w:val="center"/>
          </w:tcPr>
          <w:p>
            <w:pPr>
              <w:pStyle w:val="2"/>
              <w:pBdr>
                <w:bottom w:val="none" w:color="auto" w:sz="0" w:space="0"/>
              </w:pBdr>
              <w:tabs>
                <w:tab w:val="center" w:pos="5737"/>
                <w:tab w:val="clear" w:pos="4153"/>
              </w:tabs>
              <w:jc w:val="both"/>
              <w:rPr>
                <w:rFonts w:hint="eastAsia"/>
                <w:color w:val="000000"/>
                <w:sz w:val="24"/>
                <w:szCs w:val="24"/>
                <w:lang w:val="en-US" w:eastAsia="zh-CN"/>
              </w:rPr>
            </w:pPr>
            <w:r>
              <w:rPr>
                <w:rFonts w:hint="eastAsia"/>
                <w:color w:val="000000"/>
                <w:sz w:val="24"/>
                <w:szCs w:val="24"/>
                <w:lang w:val="en-US" w:eastAsia="zh-CN"/>
              </w:rPr>
              <w:t>QEO</w:t>
            </w:r>
          </w:p>
          <w:p>
            <w:pPr>
              <w:pStyle w:val="2"/>
              <w:pBdr>
                <w:bottom w:val="none" w:color="auto" w:sz="0" w:space="0"/>
              </w:pBdr>
              <w:tabs>
                <w:tab w:val="center" w:pos="5737"/>
                <w:tab w:val="clear" w:pos="4153"/>
              </w:tabs>
              <w:jc w:val="both"/>
              <w:rPr>
                <w:color w:val="auto"/>
                <w:sz w:val="21"/>
                <w:szCs w:val="21"/>
              </w:rPr>
            </w:pPr>
            <w:r>
              <w:rPr>
                <w:rFonts w:hint="eastAsia"/>
                <w:color w:val="000000"/>
                <w:sz w:val="24"/>
                <w:szCs w:val="24"/>
                <w:lang w:val="en-US" w:eastAsia="zh-CN"/>
              </w:rPr>
              <w:t>5.3/5.4</w:t>
            </w:r>
          </w:p>
        </w:tc>
        <w:tc>
          <w:tcPr>
            <w:tcW w:w="10760" w:type="dxa"/>
            <w:vAlign w:val="center"/>
          </w:tcPr>
          <w:p>
            <w:pPr>
              <w:numPr>
                <w:ilvl w:val="0"/>
                <w:numId w:val="1"/>
              </w:numPr>
              <w:spacing w:before="156" w:beforeLines="50"/>
              <w:rPr>
                <w:rFonts w:hint="eastAsia"/>
                <w:color w:val="FF0000"/>
                <w:lang w:eastAsia="zh-CN"/>
              </w:rPr>
            </w:pPr>
            <w:r>
              <w:rPr>
                <w:rFonts w:hint="eastAsia"/>
                <w:color w:val="FF0000"/>
                <w:lang w:eastAsia="zh-CN"/>
              </w:rPr>
              <w:t>手册中，没有各主管</w:t>
            </w:r>
            <w:r>
              <w:rPr>
                <w:rFonts w:hint="eastAsia"/>
                <w:color w:val="FF0000"/>
              </w:rPr>
              <w:t>部门职责</w:t>
            </w:r>
            <w:r>
              <w:rPr>
                <w:rFonts w:hint="eastAsia"/>
                <w:color w:val="FF0000"/>
                <w:lang w:eastAsia="zh-CN"/>
              </w:rPr>
              <w:t>权限阐述</w:t>
            </w:r>
          </w:p>
          <w:p>
            <w:pPr>
              <w:pStyle w:val="2"/>
              <w:numPr>
                <w:numId w:val="0"/>
              </w:numPr>
              <w:jc w:val="both"/>
              <w:rPr>
                <w:rFonts w:hint="default" w:eastAsia="宋体"/>
                <w:color w:val="FF0000"/>
                <w:lang w:val="en-US" w:eastAsia="zh-CN"/>
              </w:rPr>
            </w:pPr>
            <w:r>
              <w:rPr>
                <w:rFonts w:hint="eastAsia"/>
                <w:color w:val="FF0000"/>
                <w:lang w:val="en-US" w:eastAsia="zh-CN"/>
              </w:rPr>
              <w:t>2.</w:t>
            </w:r>
            <w:r>
              <w:rPr>
                <w:rFonts w:hint="eastAsia"/>
                <w:color w:val="FF0000"/>
                <w:sz w:val="24"/>
                <w:szCs w:val="24"/>
                <w:lang w:eastAsia="zh-CN"/>
              </w:rPr>
              <w:t>提供的手册文件规定</w:t>
            </w:r>
            <w:r>
              <w:rPr>
                <w:rFonts w:hint="eastAsia"/>
                <w:color w:val="FF0000"/>
                <w:sz w:val="24"/>
                <w:szCs w:val="24"/>
                <w:lang w:val="en-US" w:eastAsia="zh-CN"/>
              </w:rPr>
              <w:t>Q8.4归属</w:t>
            </w:r>
            <w:r>
              <w:rPr>
                <w:rFonts w:hint="eastAsia"/>
                <w:color w:val="FF0000"/>
                <w:sz w:val="24"/>
                <w:szCs w:val="24"/>
              </w:rPr>
              <w:t>市场公关部</w:t>
            </w:r>
            <w:r>
              <w:rPr>
                <w:rFonts w:hint="eastAsia"/>
                <w:color w:val="FF0000"/>
                <w:sz w:val="24"/>
                <w:szCs w:val="24"/>
                <w:lang w:eastAsia="zh-CN"/>
              </w:rPr>
              <w:t>，但是与</w:t>
            </w:r>
            <w:r>
              <w:rPr>
                <w:rFonts w:hint="eastAsia"/>
                <w:color w:val="FF0000"/>
                <w:sz w:val="24"/>
                <w:szCs w:val="24"/>
              </w:rPr>
              <w:t>市场公关部</w:t>
            </w:r>
            <w:r>
              <w:rPr>
                <w:rFonts w:hint="eastAsia"/>
                <w:color w:val="FF0000"/>
                <w:sz w:val="24"/>
                <w:szCs w:val="24"/>
                <w:lang w:eastAsia="zh-CN"/>
              </w:rPr>
              <w:t>沟通，</w:t>
            </w:r>
            <w:r>
              <w:rPr>
                <w:rFonts w:hint="eastAsia"/>
                <w:color w:val="FF0000"/>
                <w:sz w:val="24"/>
                <w:szCs w:val="24"/>
              </w:rPr>
              <w:t>市场公关部</w:t>
            </w:r>
            <w:r>
              <w:rPr>
                <w:rFonts w:hint="eastAsia"/>
                <w:color w:val="FF0000"/>
                <w:sz w:val="24"/>
                <w:szCs w:val="24"/>
                <w:lang w:eastAsia="zh-CN"/>
              </w:rPr>
              <w:t>不负责</w:t>
            </w:r>
            <w:r>
              <w:rPr>
                <w:rFonts w:hint="eastAsia"/>
                <w:color w:val="FF0000"/>
                <w:sz w:val="24"/>
                <w:szCs w:val="24"/>
              </w:rPr>
              <w:t>采购</w:t>
            </w:r>
            <w:r>
              <w:rPr>
                <w:rFonts w:hint="eastAsia"/>
                <w:color w:val="FF0000"/>
                <w:sz w:val="24"/>
                <w:szCs w:val="24"/>
                <w:lang w:eastAsia="zh-CN"/>
              </w:rPr>
              <w:t>活动</w:t>
            </w:r>
          </w:p>
        </w:tc>
        <w:tc>
          <w:tcPr>
            <w:tcW w:w="829" w:type="dxa"/>
          </w:tcPr>
          <w:p>
            <w:pPr>
              <w:rPr>
                <w:color w:val="FF0000"/>
                <w:sz w:val="21"/>
                <w:szCs w:val="21"/>
              </w:rPr>
            </w:pPr>
            <w:r>
              <w:rPr>
                <w:rFonts w:hint="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s="宋体"/>
                <w:sz w:val="21"/>
                <w:szCs w:val="21"/>
              </w:rPr>
            </w:pPr>
            <w:r>
              <w:rPr>
                <w:bCs/>
                <w:color w:val="auto"/>
                <w:sz w:val="21"/>
                <w:szCs w:val="21"/>
              </w:rPr>
              <w:t>目标和实现计划</w:t>
            </w:r>
          </w:p>
        </w:tc>
        <w:tc>
          <w:tcPr>
            <w:tcW w:w="960" w:type="dxa"/>
            <w:vAlign w:val="center"/>
          </w:tcPr>
          <w:p>
            <w:pPr>
              <w:rPr>
                <w:rFonts w:hint="eastAsia"/>
                <w:color w:val="auto"/>
                <w:sz w:val="21"/>
                <w:szCs w:val="21"/>
              </w:rPr>
            </w:pPr>
            <w:r>
              <w:rPr>
                <w:rFonts w:hint="eastAsia"/>
                <w:color w:val="auto"/>
                <w:sz w:val="21"/>
                <w:szCs w:val="21"/>
              </w:rPr>
              <w:t>QEO</w:t>
            </w:r>
          </w:p>
          <w:p>
            <w:pPr>
              <w:rPr>
                <w:rFonts w:hint="eastAsia"/>
                <w:color w:val="auto"/>
                <w:sz w:val="21"/>
                <w:szCs w:val="21"/>
              </w:rPr>
            </w:pPr>
            <w:r>
              <w:rPr>
                <w:color w:val="auto"/>
                <w:sz w:val="21"/>
                <w:szCs w:val="21"/>
              </w:rPr>
              <w:t>6.2</w:t>
            </w:r>
          </w:p>
        </w:tc>
        <w:tc>
          <w:tcPr>
            <w:tcW w:w="10760" w:type="dxa"/>
            <w:vAlign w:val="center"/>
          </w:tcPr>
          <w:p>
            <w:pPr>
              <w:rPr>
                <w:rFonts w:cs="宋体"/>
                <w:color w:val="auto"/>
                <w:sz w:val="21"/>
                <w:szCs w:val="21"/>
              </w:rPr>
            </w:pPr>
            <w:r>
              <w:rPr>
                <w:rFonts w:hint="eastAsia" w:cs="宋体"/>
                <w:color w:val="auto"/>
                <w:sz w:val="21"/>
                <w:szCs w:val="21"/>
              </w:rPr>
              <w:t>企业的质量目标：1、安全运行率95%以上；</w:t>
            </w:r>
          </w:p>
          <w:p>
            <w:pPr>
              <w:ind w:firstLine="1680" w:firstLineChars="800"/>
              <w:rPr>
                <w:rFonts w:hint="eastAsia" w:cs="宋体"/>
                <w:color w:val="auto"/>
                <w:sz w:val="21"/>
                <w:szCs w:val="21"/>
              </w:rPr>
            </w:pPr>
            <w:r>
              <w:rPr>
                <w:rFonts w:hint="eastAsia" w:cs="宋体"/>
                <w:color w:val="auto"/>
                <w:sz w:val="21"/>
                <w:szCs w:val="21"/>
              </w:rPr>
              <w:t>2、顾客满意度95%以上。</w:t>
            </w:r>
          </w:p>
          <w:p>
            <w:pPr>
              <w:rPr>
                <w:rFonts w:hint="eastAsia" w:cs="宋体"/>
                <w:color w:val="auto"/>
                <w:sz w:val="21"/>
                <w:szCs w:val="21"/>
              </w:rPr>
            </w:pPr>
            <w:r>
              <w:rPr>
                <w:rFonts w:hint="eastAsia" w:cs="宋体"/>
                <w:color w:val="auto"/>
                <w:sz w:val="21"/>
                <w:szCs w:val="21"/>
              </w:rPr>
              <w:t>环境目标和指标：</w:t>
            </w:r>
          </w:p>
          <w:p>
            <w:pPr>
              <w:rPr>
                <w:rFonts w:hint="eastAsia" w:cs="宋体"/>
                <w:color w:val="auto"/>
                <w:sz w:val="21"/>
                <w:szCs w:val="21"/>
              </w:rPr>
            </w:pPr>
            <w:r>
              <w:rPr>
                <w:rFonts w:hint="eastAsia" w:cs="宋体"/>
                <w:color w:val="auto"/>
                <w:sz w:val="21"/>
                <w:szCs w:val="21"/>
              </w:rPr>
              <w:t>1、固体废弃物、危险废物100%分类处理；</w:t>
            </w:r>
          </w:p>
          <w:p>
            <w:pPr>
              <w:rPr>
                <w:rFonts w:cs="宋体"/>
                <w:color w:val="auto"/>
                <w:sz w:val="21"/>
                <w:szCs w:val="21"/>
              </w:rPr>
            </w:pPr>
            <w:r>
              <w:rPr>
                <w:rFonts w:hint="eastAsia" w:cs="宋体"/>
                <w:color w:val="auto"/>
                <w:sz w:val="21"/>
                <w:szCs w:val="21"/>
              </w:rPr>
              <w:t>2、环境污染事故发生率为零。</w:t>
            </w:r>
          </w:p>
          <w:p>
            <w:pPr>
              <w:rPr>
                <w:rFonts w:hint="eastAsia" w:cs="宋体"/>
                <w:color w:val="auto"/>
                <w:sz w:val="21"/>
                <w:szCs w:val="21"/>
              </w:rPr>
            </w:pPr>
            <w:r>
              <w:rPr>
                <w:rFonts w:hint="eastAsia" w:cs="宋体"/>
                <w:color w:val="auto"/>
                <w:sz w:val="21"/>
                <w:szCs w:val="21"/>
              </w:rPr>
              <w:t>职业健康安全目标：</w:t>
            </w:r>
          </w:p>
          <w:p>
            <w:pPr>
              <w:numPr>
                <w:ilvl w:val="0"/>
                <w:numId w:val="2"/>
              </w:numPr>
              <w:rPr>
                <w:rFonts w:cs="宋体"/>
                <w:color w:val="auto"/>
                <w:sz w:val="21"/>
                <w:szCs w:val="21"/>
              </w:rPr>
            </w:pPr>
            <w:r>
              <w:rPr>
                <w:rFonts w:hint="eastAsia" w:cs="宋体"/>
                <w:color w:val="auto"/>
                <w:sz w:val="21"/>
                <w:szCs w:val="21"/>
              </w:rPr>
              <w:t xml:space="preserve">安全事故发生率为零； </w:t>
            </w:r>
          </w:p>
          <w:p>
            <w:pPr>
              <w:numPr>
                <w:ilvl w:val="0"/>
                <w:numId w:val="2"/>
              </w:numPr>
              <w:rPr>
                <w:rFonts w:hint="eastAsia" w:cs="宋体"/>
                <w:color w:val="auto"/>
                <w:sz w:val="21"/>
                <w:szCs w:val="21"/>
              </w:rPr>
            </w:pPr>
            <w:r>
              <w:rPr>
                <w:rFonts w:hint="eastAsia" w:cs="宋体"/>
                <w:color w:val="auto"/>
                <w:sz w:val="21"/>
                <w:szCs w:val="21"/>
              </w:rPr>
              <w:t>杜绝火灾事故。</w:t>
            </w:r>
          </w:p>
          <w:p>
            <w:pPr>
              <w:pStyle w:val="7"/>
              <w:spacing w:before="0" w:after="0"/>
              <w:rPr>
                <w:rFonts w:hint="eastAsia" w:cs="宋体"/>
                <w:color w:val="auto"/>
                <w:sz w:val="21"/>
                <w:szCs w:val="21"/>
              </w:rPr>
            </w:pPr>
            <w:r>
              <w:rPr>
                <w:rFonts w:hint="eastAsia"/>
                <w:color w:val="auto"/>
                <w:sz w:val="21"/>
                <w:szCs w:val="21"/>
              </w:rPr>
              <w:t>目标进行分解责任落实到人，确保目标指标实现。</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color w:val="auto"/>
                <w:sz w:val="21"/>
                <w:szCs w:val="21"/>
              </w:rPr>
            </w:pPr>
            <w:r>
              <w:rPr>
                <w:rFonts w:hint="eastAsia" w:cs="宋体"/>
                <w:sz w:val="21"/>
                <w:szCs w:val="21"/>
              </w:rPr>
              <w:t>资源提供</w:t>
            </w:r>
          </w:p>
        </w:tc>
        <w:tc>
          <w:tcPr>
            <w:tcW w:w="960" w:type="dxa"/>
            <w:vAlign w:val="center"/>
          </w:tcPr>
          <w:p>
            <w:pPr>
              <w:rPr>
                <w:rFonts w:hint="eastAsia"/>
                <w:sz w:val="21"/>
                <w:szCs w:val="21"/>
              </w:rPr>
            </w:pPr>
            <w:r>
              <w:rPr>
                <w:rFonts w:hint="eastAsia"/>
                <w:sz w:val="21"/>
                <w:szCs w:val="21"/>
              </w:rPr>
              <w:t>QEO</w:t>
            </w:r>
          </w:p>
          <w:p>
            <w:pPr>
              <w:rPr>
                <w:color w:val="auto"/>
                <w:sz w:val="21"/>
                <w:szCs w:val="21"/>
              </w:rPr>
            </w:pPr>
            <w:r>
              <w:rPr>
                <w:sz w:val="21"/>
                <w:szCs w:val="21"/>
              </w:rPr>
              <w:t>7.1</w:t>
            </w:r>
          </w:p>
        </w:tc>
        <w:tc>
          <w:tcPr>
            <w:tcW w:w="10760" w:type="dxa"/>
            <w:vAlign w:val="center"/>
          </w:tcPr>
          <w:p>
            <w:pPr>
              <w:spacing w:before="156" w:beforeLines="50"/>
              <w:rPr>
                <w:sz w:val="21"/>
                <w:szCs w:val="21"/>
              </w:rPr>
            </w:pPr>
            <w:r>
              <w:rPr>
                <w:rFonts w:hint="eastAsia"/>
                <w:sz w:val="21"/>
                <w:szCs w:val="21"/>
              </w:rPr>
              <w:t>公司提供并维护为达到产品符合要求（符合顾客要求、法律法规要求、公司及其他相关方要求）所必需的基础设施。这些基础设施包括：工作场所和相关的设施如仓库、办公室办公设备、通讯设施、网络等</w:t>
            </w:r>
          </w:p>
          <w:p>
            <w:pPr>
              <w:spacing w:before="156" w:beforeLines="50"/>
              <w:rPr>
                <w:rFonts w:hint="eastAsia"/>
                <w:sz w:val="21"/>
                <w:szCs w:val="21"/>
              </w:rPr>
            </w:pPr>
            <w:r>
              <w:rPr>
                <w:sz w:val="21"/>
                <w:szCs w:val="21"/>
              </w:rPr>
              <w:t>提供设备清单</w:t>
            </w:r>
            <w:r>
              <w:rPr>
                <w:rFonts w:hint="eastAsia"/>
                <w:sz w:val="21"/>
                <w:szCs w:val="21"/>
              </w:rPr>
              <w:t>：保供场所建筑面积129平方米。使用面积83平方米，内有</w:t>
            </w:r>
            <w:r>
              <w:rPr>
                <w:sz w:val="21"/>
                <w:szCs w:val="21"/>
              </w:rPr>
              <w:t>电脑</w:t>
            </w:r>
            <w:r>
              <w:rPr>
                <w:rFonts w:hint="eastAsia"/>
                <w:sz w:val="21"/>
                <w:szCs w:val="21"/>
              </w:rPr>
              <w:t>、</w:t>
            </w:r>
            <w:r>
              <w:rPr>
                <w:sz w:val="21"/>
                <w:szCs w:val="21"/>
              </w:rPr>
              <w:t>打印机</w:t>
            </w:r>
            <w:r>
              <w:rPr>
                <w:rFonts w:hint="eastAsia"/>
                <w:sz w:val="21"/>
                <w:szCs w:val="21"/>
              </w:rPr>
              <w:t>、复印机、扫描仪、办公桌椅等。提供设备维护记录：2019年1-6月份有记录，以后无记录描述，经沟通，已补充完善。</w:t>
            </w:r>
          </w:p>
          <w:p>
            <w:pPr>
              <w:spacing w:before="156" w:beforeLines="50"/>
              <w:rPr>
                <w:rFonts w:hint="eastAsia" w:cs="宋体"/>
                <w:sz w:val="21"/>
                <w:szCs w:val="21"/>
              </w:rPr>
            </w:pPr>
            <w:r>
              <w:rPr>
                <w:rFonts w:hint="eastAsia" w:cs="宋体"/>
                <w:sz w:val="21"/>
                <w:szCs w:val="21"/>
              </w:rPr>
              <w:t>资金支持：注册资金</w:t>
            </w:r>
            <w:r>
              <w:rPr>
                <w:rFonts w:hint="eastAsia"/>
                <w:sz w:val="21"/>
                <w:szCs w:val="21"/>
              </w:rPr>
              <w:t>500</w:t>
            </w:r>
            <w:r>
              <w:rPr>
                <w:rFonts w:hint="eastAsia" w:cs="宋体"/>
                <w:sz w:val="21"/>
                <w:szCs w:val="21"/>
              </w:rPr>
              <w:t>万元。2019年至2020年6月安全环保投入资金19800元。主要用于废弃物处理、消防器材购买、口罩、劳保用品的消费等。</w:t>
            </w:r>
          </w:p>
          <w:p>
            <w:pPr>
              <w:spacing w:before="156" w:beforeLines="50"/>
              <w:rPr>
                <w:rFonts w:hint="eastAsia"/>
                <w:color w:val="auto"/>
                <w:sz w:val="21"/>
                <w:szCs w:val="21"/>
              </w:rPr>
            </w:pPr>
            <w:r>
              <w:rPr>
                <w:rFonts w:hint="eastAsia"/>
                <w:sz w:val="21"/>
                <w:szCs w:val="21"/>
              </w:rPr>
              <w:t>以上资源</w:t>
            </w:r>
            <w:r>
              <w:rPr>
                <w:rFonts w:hint="eastAsia" w:cs="宋体"/>
                <w:sz w:val="21"/>
                <w:szCs w:val="21"/>
              </w:rPr>
              <w:t>能够满足企业的经营需要，符合QEO管理体系要求。</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cs="宋体"/>
                <w:color w:val="auto"/>
                <w:sz w:val="21"/>
                <w:szCs w:val="21"/>
              </w:rPr>
            </w:pPr>
            <w:r>
              <w:rPr>
                <w:rFonts w:hint="eastAsia" w:cs="宋体"/>
                <w:color w:val="auto"/>
                <w:sz w:val="21"/>
                <w:szCs w:val="21"/>
              </w:rPr>
              <w:t>文件化信息</w:t>
            </w:r>
          </w:p>
          <w:p>
            <w:pPr>
              <w:pStyle w:val="7"/>
              <w:rPr>
                <w:rFonts w:hint="eastAsia" w:cs="宋体"/>
                <w:color w:val="auto"/>
                <w:sz w:val="21"/>
                <w:szCs w:val="21"/>
              </w:rPr>
            </w:pPr>
            <w:r>
              <w:rPr>
                <w:color w:val="auto"/>
                <w:sz w:val="21"/>
                <w:szCs w:val="21"/>
              </w:rPr>
              <w:t>文件总则/管理手册、文件和记录控制</w:t>
            </w:r>
          </w:p>
        </w:tc>
        <w:tc>
          <w:tcPr>
            <w:tcW w:w="960" w:type="dxa"/>
            <w:vAlign w:val="center"/>
          </w:tcPr>
          <w:p>
            <w:pPr>
              <w:rPr>
                <w:rFonts w:hint="eastAsia"/>
                <w:color w:val="auto"/>
                <w:sz w:val="21"/>
                <w:szCs w:val="21"/>
              </w:rPr>
            </w:pPr>
            <w:r>
              <w:rPr>
                <w:rFonts w:hint="eastAsia"/>
                <w:color w:val="auto"/>
                <w:sz w:val="21"/>
                <w:szCs w:val="21"/>
              </w:rPr>
              <w:t>QEO7.5</w:t>
            </w:r>
          </w:p>
        </w:tc>
        <w:tc>
          <w:tcPr>
            <w:tcW w:w="10760" w:type="dxa"/>
            <w:vAlign w:val="center"/>
          </w:tcPr>
          <w:p>
            <w:pPr>
              <w:rPr>
                <w:rFonts w:hint="eastAsia" w:cs="宋体"/>
                <w:color w:val="auto"/>
                <w:sz w:val="21"/>
                <w:szCs w:val="21"/>
              </w:rPr>
            </w:pPr>
            <w:r>
              <w:rPr>
                <w:rFonts w:hint="eastAsia" w:cs="宋体"/>
                <w:color w:val="auto"/>
                <w:sz w:val="21"/>
                <w:szCs w:val="21"/>
              </w:rPr>
              <w:t>受审核方建立的管理体系文件包括：</w:t>
            </w:r>
          </w:p>
          <w:p>
            <w:pPr>
              <w:rPr>
                <w:rFonts w:hint="eastAsia"/>
                <w:color w:val="auto"/>
                <w:sz w:val="21"/>
                <w:szCs w:val="21"/>
              </w:rPr>
            </w:pPr>
            <w:r>
              <w:rPr>
                <w:rFonts w:hint="eastAsia"/>
                <w:color w:val="auto"/>
                <w:sz w:val="21"/>
                <w:szCs w:val="21"/>
              </w:rPr>
              <w:t>1.管理手册</w:t>
            </w:r>
            <w:r>
              <w:rPr>
                <w:rFonts w:hint="eastAsia" w:ascii="宋体" w:hAnsi="宋体"/>
                <w:color w:val="auto"/>
                <w:sz w:val="21"/>
                <w:szCs w:val="21"/>
              </w:rPr>
              <w:t xml:space="preserve"> </w:t>
            </w:r>
            <w:r>
              <w:rPr>
                <w:rFonts w:hint="eastAsia" w:ascii="Times New Roman" w:hAnsi="Times New Roman"/>
                <w:color w:val="auto"/>
                <w:sz w:val="21"/>
                <w:szCs w:val="21"/>
              </w:rPr>
              <w:t>ZFLH-QES/SC-2020 版本号</w:t>
            </w:r>
            <w:r>
              <w:rPr>
                <w:rFonts w:hint="eastAsia" w:ascii="Times New Roman" w:hAnsi="Times New Roman"/>
                <w:color w:val="auto"/>
                <w:sz w:val="21"/>
                <w:szCs w:val="21"/>
                <w:lang w:eastAsia="zh-CN"/>
              </w:rPr>
              <w:t>A/</w:t>
            </w:r>
            <w:r>
              <w:rPr>
                <w:rFonts w:hint="eastAsia" w:ascii="Times New Roman" w:hAnsi="Times New Roman"/>
                <w:color w:val="auto"/>
                <w:sz w:val="21"/>
                <w:szCs w:val="21"/>
                <w:lang w:val="en-US" w:eastAsia="zh-CN"/>
              </w:rPr>
              <w:t>0</w:t>
            </w:r>
            <w:r>
              <w:rPr>
                <w:rFonts w:hint="eastAsia"/>
                <w:color w:val="auto"/>
                <w:sz w:val="21"/>
                <w:szCs w:val="21"/>
              </w:rPr>
              <w:t>，</w:t>
            </w:r>
            <w:r>
              <w:rPr>
                <w:rFonts w:hint="eastAsia" w:ascii="Times New Roman" w:hAnsi="Times New Roman"/>
                <w:color w:val="auto"/>
                <w:sz w:val="21"/>
                <w:szCs w:val="21"/>
              </w:rPr>
              <w:t>20</w:t>
            </w:r>
            <w:r>
              <w:rPr>
                <w:rFonts w:hint="eastAsia"/>
                <w:color w:val="auto"/>
                <w:sz w:val="21"/>
                <w:szCs w:val="21"/>
              </w:rPr>
              <w:t>20年3月10日发布实施（含管理方针、目标）</w:t>
            </w:r>
          </w:p>
          <w:p>
            <w:pPr>
              <w:rPr>
                <w:rFonts w:hint="eastAsia"/>
                <w:color w:val="auto"/>
                <w:sz w:val="21"/>
                <w:szCs w:val="21"/>
              </w:rPr>
            </w:pPr>
            <w:r>
              <w:rPr>
                <w:rFonts w:hint="eastAsia"/>
                <w:color w:val="auto"/>
                <w:sz w:val="21"/>
                <w:szCs w:val="21"/>
              </w:rPr>
              <w:t>2.程序文件 ZFLH-QES/CX-2020  版本号：</w:t>
            </w:r>
            <w:r>
              <w:rPr>
                <w:rFonts w:hint="eastAsia" w:ascii="Times New Roman" w:hAnsi="Times New Roman"/>
                <w:color w:val="auto"/>
                <w:sz w:val="21"/>
                <w:szCs w:val="21"/>
                <w:lang w:eastAsia="zh-CN"/>
              </w:rPr>
              <w:t>A/</w:t>
            </w:r>
            <w:r>
              <w:rPr>
                <w:rFonts w:hint="eastAsia" w:ascii="Times New Roman" w:hAnsi="Times New Roman"/>
                <w:color w:val="auto"/>
                <w:sz w:val="21"/>
                <w:szCs w:val="21"/>
                <w:lang w:val="en-US" w:eastAsia="zh-CN"/>
              </w:rPr>
              <w:t>0</w:t>
            </w:r>
            <w:r>
              <w:rPr>
                <w:rFonts w:hint="eastAsia"/>
                <w:color w:val="auto"/>
                <w:sz w:val="21"/>
                <w:szCs w:val="21"/>
              </w:rPr>
              <w:t>，</w:t>
            </w:r>
            <w:r>
              <w:rPr>
                <w:rFonts w:hint="eastAsia" w:ascii="Times New Roman" w:hAnsi="Times New Roman"/>
                <w:color w:val="auto"/>
                <w:sz w:val="21"/>
                <w:szCs w:val="21"/>
              </w:rPr>
              <w:t>20</w:t>
            </w:r>
            <w:r>
              <w:rPr>
                <w:rFonts w:hint="eastAsia"/>
                <w:color w:val="auto"/>
                <w:sz w:val="21"/>
                <w:szCs w:val="21"/>
              </w:rPr>
              <w:t>20年3月10日发布实施</w:t>
            </w:r>
            <w:r>
              <w:rPr>
                <w:rFonts w:hint="eastAsia"/>
                <w:color w:val="auto"/>
                <w:sz w:val="21"/>
                <w:szCs w:val="21"/>
                <w:lang w:eastAsia="zh-CN"/>
              </w:rPr>
              <w:t>，</w:t>
            </w:r>
            <w:r>
              <w:rPr>
                <w:rFonts w:hint="eastAsia"/>
                <w:color w:val="auto"/>
                <w:sz w:val="21"/>
                <w:szCs w:val="21"/>
              </w:rPr>
              <w:t>包括标准要求的程序</w:t>
            </w:r>
          </w:p>
          <w:p>
            <w:pPr>
              <w:rPr>
                <w:rFonts w:hint="eastAsia" w:cs="宋体"/>
                <w:color w:val="auto"/>
                <w:sz w:val="21"/>
                <w:szCs w:val="21"/>
              </w:rPr>
            </w:pPr>
            <w:r>
              <w:rPr>
                <w:rFonts w:hint="eastAsia"/>
                <w:color w:val="auto"/>
                <w:sz w:val="21"/>
                <w:szCs w:val="21"/>
              </w:rPr>
              <w:t>3.管理、作业文件汇编等</w:t>
            </w:r>
          </w:p>
          <w:p>
            <w:pPr>
              <w:rPr>
                <w:rFonts w:hint="eastAsia" w:cs="宋体"/>
                <w:color w:val="auto"/>
                <w:sz w:val="21"/>
                <w:szCs w:val="21"/>
              </w:rPr>
            </w:pPr>
            <w:r>
              <w:rPr>
                <w:rFonts w:hint="eastAsia" w:cs="宋体"/>
                <w:color w:val="auto"/>
                <w:sz w:val="21"/>
                <w:szCs w:val="21"/>
              </w:rPr>
              <w:t>编制了《文件控制程序》和《记录控制程序》用于对管理体系文件，符合标准要求。</w:t>
            </w:r>
          </w:p>
          <w:p>
            <w:pPr>
              <w:rPr>
                <w:rFonts w:hint="eastAsia"/>
                <w:color w:val="auto"/>
                <w:sz w:val="21"/>
                <w:szCs w:val="21"/>
              </w:rPr>
            </w:pPr>
            <w:r>
              <w:rPr>
                <w:rFonts w:hint="eastAsia" w:cs="宋体"/>
                <w:color w:val="auto"/>
                <w:sz w:val="21"/>
                <w:szCs w:val="21"/>
              </w:rPr>
              <w:t>提供文件发放登记表、培训记录表、受控文件清单，填写及保管符合要求。</w:t>
            </w:r>
            <w:r>
              <w:rPr>
                <w:color w:val="auto"/>
                <w:sz w:val="21"/>
                <w:szCs w:val="21"/>
              </w:rPr>
              <w:br w:type="textWrapping"/>
            </w:r>
            <w:r>
              <w:rPr>
                <w:rFonts w:hint="eastAsia" w:cs="宋体"/>
                <w:color w:val="auto"/>
                <w:sz w:val="21"/>
                <w:szCs w:val="21"/>
              </w:rPr>
              <w:t>各部门保存各记录，按时间整理，放置在文件柜中，以便检索，行政部定期对其进行检查，目前保存完好。</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60" w:type="dxa"/>
            <w:vAlign w:val="top"/>
          </w:tcPr>
          <w:p>
            <w:pPr>
              <w:keepNext w:val="0"/>
              <w:keepLines w:val="0"/>
              <w:widowControl/>
              <w:suppressLineNumbers w:val="0"/>
              <w:jc w:val="left"/>
              <w:rPr>
                <w:color w:val="auto"/>
                <w:sz w:val="21"/>
                <w:szCs w:val="21"/>
              </w:rPr>
            </w:pPr>
            <w:r>
              <w:rPr>
                <w:rFonts w:hint="eastAsia" w:ascii="宋体" w:hAnsi="宋体" w:eastAsia="宋体" w:cs="宋体"/>
                <w:color w:val="auto"/>
                <w:sz w:val="21"/>
                <w:szCs w:val="21"/>
                <w:lang w:val="en-US" w:eastAsia="zh-CN"/>
              </w:rPr>
              <w:t>环境因素/危险源识别评价</w:t>
            </w:r>
          </w:p>
        </w:tc>
        <w:tc>
          <w:tcPr>
            <w:tcW w:w="960" w:type="dxa"/>
            <w:vAlign w:val="top"/>
          </w:tcPr>
          <w:p>
            <w:pPr>
              <w:pStyle w:val="7"/>
              <w:rPr>
                <w:rFonts w:hint="eastAsia"/>
                <w:color w:val="auto"/>
                <w:sz w:val="21"/>
                <w:szCs w:val="21"/>
              </w:rPr>
            </w:pPr>
            <w:r>
              <w:rPr>
                <w:rFonts w:hint="eastAsia" w:ascii="宋体" w:hAnsi="宋体" w:eastAsia="宋体" w:cs="宋体"/>
                <w:color w:val="auto"/>
                <w:sz w:val="21"/>
                <w:szCs w:val="21"/>
                <w:lang w:val="en-US" w:eastAsia="zh-CN"/>
              </w:rPr>
              <w:t>EO/6.1.2</w:t>
            </w:r>
          </w:p>
        </w:tc>
        <w:tc>
          <w:tcPr>
            <w:tcW w:w="10760" w:type="dxa"/>
            <w:vAlign w:val="top"/>
          </w:tcPr>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提供《环境因素评价表》，提供《重要环境因素清单》，其中重要环境因素：潜在火灾、固废、汽车尾气、噪声。</w:t>
            </w:r>
          </w:p>
          <w:p>
            <w:pPr>
              <w:spacing w:line="360" w:lineRule="auto"/>
              <w:rPr>
                <w:rFonts w:hint="eastAsia" w:cs="宋体"/>
                <w:color w:val="auto"/>
                <w:sz w:val="21"/>
                <w:szCs w:val="21"/>
              </w:rPr>
            </w:pPr>
            <w:r>
              <w:rPr>
                <w:rFonts w:hint="eastAsia" w:ascii="宋体" w:hAnsi="宋体" w:eastAsia="宋体" w:cs="宋体"/>
                <w:color w:val="auto"/>
                <w:sz w:val="21"/>
                <w:szCs w:val="21"/>
                <w:lang w:val="en-US" w:eastAsia="zh-CN"/>
              </w:rPr>
              <w:t>提供了职业健康安全危险源识别与评价表，用LEC法对识别的危险源进行评价，本部门不可接受风险：火灾、车辆自燃、新冠病毒，评价基本准确。</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160" w:type="dxa"/>
            <w:vAlign w:val="center"/>
          </w:tcPr>
          <w:p>
            <w:pPr>
              <w:rPr>
                <w:color w:val="auto"/>
                <w:sz w:val="21"/>
                <w:szCs w:val="21"/>
              </w:rPr>
            </w:pPr>
            <w:r>
              <w:rPr>
                <w:rFonts w:hint="eastAsia"/>
                <w:bCs/>
                <w:color w:val="auto"/>
                <w:sz w:val="21"/>
                <w:szCs w:val="21"/>
              </w:rPr>
              <w:t>合规义务及评价</w:t>
            </w:r>
          </w:p>
        </w:tc>
        <w:tc>
          <w:tcPr>
            <w:tcW w:w="960" w:type="dxa"/>
            <w:vAlign w:val="center"/>
          </w:tcPr>
          <w:p>
            <w:pPr>
              <w:rPr>
                <w:rFonts w:hint="eastAsia"/>
                <w:color w:val="auto"/>
                <w:sz w:val="21"/>
                <w:szCs w:val="21"/>
              </w:rPr>
            </w:pPr>
            <w:r>
              <w:rPr>
                <w:rFonts w:hint="eastAsia"/>
                <w:color w:val="auto"/>
                <w:sz w:val="21"/>
                <w:szCs w:val="21"/>
              </w:rPr>
              <w:t>EO</w:t>
            </w:r>
          </w:p>
          <w:p>
            <w:pPr>
              <w:rPr>
                <w:rFonts w:hint="eastAsia"/>
                <w:color w:val="auto"/>
                <w:sz w:val="21"/>
                <w:szCs w:val="21"/>
              </w:rPr>
            </w:pPr>
            <w:r>
              <w:rPr>
                <w:color w:val="auto"/>
                <w:sz w:val="21"/>
                <w:szCs w:val="21"/>
              </w:rPr>
              <w:t>6.1.3</w:t>
            </w:r>
            <w:r>
              <w:rPr>
                <w:rFonts w:hint="eastAsia"/>
                <w:color w:val="auto"/>
                <w:sz w:val="21"/>
                <w:szCs w:val="21"/>
              </w:rPr>
              <w:t>/9.1.2</w:t>
            </w:r>
          </w:p>
        </w:tc>
        <w:tc>
          <w:tcPr>
            <w:tcW w:w="10760" w:type="dxa"/>
            <w:vAlign w:val="center"/>
          </w:tcPr>
          <w:p>
            <w:pPr>
              <w:spacing w:before="156" w:beforeLines="50"/>
              <w:rPr>
                <w:rFonts w:hint="eastAsia" w:eastAsia="宋体"/>
                <w:color w:val="auto"/>
                <w:sz w:val="21"/>
                <w:szCs w:val="21"/>
                <w:lang w:eastAsia="zh-CN"/>
              </w:rPr>
            </w:pPr>
            <w:r>
              <w:rPr>
                <w:color w:val="auto"/>
                <w:sz w:val="21"/>
                <w:szCs w:val="21"/>
              </w:rPr>
              <w:t>提供</w:t>
            </w:r>
            <w:r>
              <w:rPr>
                <w:rFonts w:hint="eastAsia"/>
                <w:color w:val="auto"/>
                <w:sz w:val="21"/>
                <w:szCs w:val="21"/>
              </w:rPr>
              <w:t>：</w:t>
            </w:r>
            <w:r>
              <w:rPr>
                <w:rFonts w:hint="eastAsia" w:cs="宋体"/>
                <w:color w:val="auto"/>
                <w:sz w:val="21"/>
                <w:szCs w:val="21"/>
              </w:rPr>
              <w:t>“法律、法规及其他要求清单</w:t>
            </w:r>
            <w:r>
              <w:rPr>
                <w:rFonts w:hint="eastAsia"/>
                <w:color w:val="auto"/>
                <w:sz w:val="21"/>
                <w:szCs w:val="21"/>
              </w:rPr>
              <w:t>”</w:t>
            </w:r>
            <w:r>
              <w:rPr>
                <w:rFonts w:hint="eastAsia"/>
                <w:color w:val="auto"/>
                <w:sz w:val="21"/>
                <w:szCs w:val="21"/>
                <w:lang w:eastAsia="zh-CN"/>
              </w:rPr>
              <w:t>、</w:t>
            </w:r>
            <w:r>
              <w:rPr>
                <w:rFonts w:hint="eastAsia"/>
                <w:color w:val="auto"/>
                <w:sz w:val="21"/>
                <w:szCs w:val="21"/>
              </w:rPr>
              <w:t>“安全法律法规合规性评价”</w:t>
            </w:r>
            <w:r>
              <w:rPr>
                <w:rFonts w:hint="eastAsia"/>
                <w:color w:val="auto"/>
                <w:sz w:val="21"/>
                <w:szCs w:val="21"/>
                <w:lang w:eastAsia="zh-CN"/>
              </w:rPr>
              <w:t>，评价人：方科  审批：佘丽花   2020.4.10</w:t>
            </w:r>
          </w:p>
          <w:p>
            <w:pPr>
              <w:spacing w:before="156" w:beforeLines="50"/>
              <w:jc w:val="left"/>
              <w:rPr>
                <w:rFonts w:hint="eastAsia" w:cs="宋体"/>
                <w:color w:val="auto"/>
                <w:sz w:val="21"/>
                <w:szCs w:val="21"/>
              </w:rPr>
            </w:pPr>
            <w:r>
              <w:rPr>
                <w:color w:val="auto"/>
                <w:sz w:val="21"/>
                <w:szCs w:val="21"/>
              </w:rPr>
              <w:t>合规性评价结果</w:t>
            </w:r>
            <w:r>
              <w:rPr>
                <w:rFonts w:hint="eastAsia"/>
                <w:color w:val="auto"/>
                <w:sz w:val="21"/>
                <w:szCs w:val="21"/>
              </w:rPr>
              <w:t>：</w:t>
            </w:r>
            <w:r>
              <w:rPr>
                <w:color w:val="auto"/>
                <w:sz w:val="21"/>
                <w:szCs w:val="21"/>
              </w:rPr>
              <w:t>，</w:t>
            </w:r>
            <w:r>
              <w:rPr>
                <w:rFonts w:hint="eastAsia"/>
                <w:color w:val="auto"/>
                <w:sz w:val="21"/>
                <w:szCs w:val="21"/>
              </w:rPr>
              <w:t>公司</w:t>
            </w:r>
            <w:r>
              <w:rPr>
                <w:color w:val="auto"/>
                <w:sz w:val="21"/>
                <w:szCs w:val="21"/>
              </w:rPr>
              <w:t>的</w:t>
            </w:r>
            <w:r>
              <w:rPr>
                <w:rFonts w:hint="eastAsia"/>
                <w:color w:val="auto"/>
                <w:sz w:val="21"/>
                <w:szCs w:val="21"/>
              </w:rPr>
              <w:t>质量、</w:t>
            </w:r>
            <w:r>
              <w:rPr>
                <w:color w:val="auto"/>
                <w:sz w:val="21"/>
                <w:szCs w:val="21"/>
              </w:rPr>
              <w:t>环境和职业健康安全行为基本符合环境和职业健康安全法律法规和环境和职业健康安全要求</w:t>
            </w:r>
            <w:r>
              <w:rPr>
                <w:rFonts w:hint="eastAsia"/>
                <w:color w:val="auto"/>
                <w:sz w:val="21"/>
                <w:szCs w:val="21"/>
              </w:rPr>
              <w:t>”。</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160" w:type="dxa"/>
            <w:vAlign w:val="top"/>
          </w:tcPr>
          <w:p>
            <w:pPr>
              <w:keepNext w:val="0"/>
              <w:keepLines w:val="0"/>
              <w:widowControl/>
              <w:suppressLineNumbers w:val="0"/>
              <w:jc w:val="left"/>
              <w:rPr>
                <w:color w:val="auto"/>
                <w:sz w:val="21"/>
                <w:szCs w:val="21"/>
              </w:rPr>
            </w:pPr>
            <w:r>
              <w:rPr>
                <w:rFonts w:hint="eastAsia" w:ascii="宋体" w:hAnsi="宋体" w:eastAsia="宋体" w:cs="宋体"/>
                <w:color w:val="auto"/>
                <w:sz w:val="21"/>
                <w:szCs w:val="21"/>
                <w:lang w:val="en-US" w:eastAsia="zh-CN"/>
              </w:rPr>
              <w:t>应急准备和相应</w:t>
            </w:r>
          </w:p>
        </w:tc>
        <w:tc>
          <w:tcPr>
            <w:tcW w:w="960" w:type="dxa"/>
            <w:vAlign w:val="top"/>
          </w:tcPr>
          <w:p>
            <w:pPr>
              <w:pStyle w:val="7"/>
              <w:rPr>
                <w:rFonts w:hint="eastAsia"/>
                <w:color w:val="auto"/>
                <w:sz w:val="21"/>
                <w:szCs w:val="21"/>
              </w:rPr>
            </w:pPr>
            <w:r>
              <w:rPr>
                <w:rFonts w:hint="eastAsia" w:ascii="宋体" w:hAnsi="宋体" w:eastAsia="宋体" w:cs="宋体"/>
                <w:color w:val="auto"/>
                <w:sz w:val="21"/>
                <w:szCs w:val="21"/>
                <w:lang w:val="en-US" w:eastAsia="zh-CN"/>
              </w:rPr>
              <w:t>EO8.2</w:t>
            </w:r>
          </w:p>
        </w:tc>
        <w:tc>
          <w:tcPr>
            <w:tcW w:w="10760" w:type="dxa"/>
            <w:vAlign w:val="top"/>
          </w:tcPr>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提供：“突发事件处理预案及流程”</w:t>
            </w:r>
          </w:p>
          <w:p>
            <w:pPr>
              <w:spacing w:line="360" w:lineRule="auto"/>
              <w:ind w:firstLine="420" w:firstLineChars="200"/>
              <w:rPr>
                <w:rFonts w:hint="eastAsia" w:cs="宋体"/>
                <w:color w:val="auto"/>
                <w:sz w:val="21"/>
                <w:szCs w:val="21"/>
              </w:rPr>
            </w:pPr>
            <w:r>
              <w:rPr>
                <w:rFonts w:hint="eastAsia" w:ascii="宋体" w:hAnsi="宋体" w:eastAsia="宋体" w:cs="宋体"/>
                <w:color w:val="auto"/>
                <w:sz w:val="21"/>
                <w:szCs w:val="21"/>
                <w:lang w:val="en-US" w:eastAsia="zh-CN"/>
              </w:rPr>
              <w:t>内容有：火警、死亡事故、匪警或盗车事故、交通堵塞事故、打架斗殴事件、防汛应急预案，并提供对应急预案进行培训和演练的证据。</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2160" w:type="dxa"/>
            <w:vAlign w:val="center"/>
          </w:tcPr>
          <w:p>
            <w:pPr>
              <w:rPr>
                <w:bCs/>
                <w:color w:val="auto"/>
                <w:sz w:val="21"/>
                <w:szCs w:val="21"/>
              </w:rPr>
            </w:pPr>
            <w:r>
              <w:rPr>
                <w:rFonts w:hint="eastAsia" w:cs="宋体"/>
                <w:color w:val="auto"/>
                <w:sz w:val="21"/>
                <w:szCs w:val="21"/>
              </w:rPr>
              <w:t>内部审核</w:t>
            </w:r>
          </w:p>
        </w:tc>
        <w:tc>
          <w:tcPr>
            <w:tcW w:w="960" w:type="dxa"/>
            <w:vAlign w:val="center"/>
          </w:tcPr>
          <w:p>
            <w:pPr>
              <w:rPr>
                <w:color w:val="auto"/>
                <w:sz w:val="21"/>
                <w:szCs w:val="21"/>
              </w:rPr>
            </w:pPr>
            <w:r>
              <w:rPr>
                <w:rFonts w:hint="eastAsia"/>
                <w:color w:val="auto"/>
                <w:sz w:val="21"/>
                <w:szCs w:val="21"/>
              </w:rPr>
              <w:t>QEO9.2</w:t>
            </w:r>
          </w:p>
        </w:tc>
        <w:tc>
          <w:tcPr>
            <w:tcW w:w="10760" w:type="dxa"/>
            <w:vAlign w:val="center"/>
          </w:tcPr>
          <w:p>
            <w:pPr>
              <w:rPr>
                <w:color w:val="auto"/>
                <w:sz w:val="21"/>
                <w:szCs w:val="21"/>
              </w:rPr>
            </w:pPr>
            <w:r>
              <w:rPr>
                <w:rFonts w:hint="eastAsia" w:cs="宋体"/>
                <w:color w:val="auto"/>
                <w:sz w:val="21"/>
                <w:szCs w:val="21"/>
              </w:rPr>
              <w:t>编制《内部审核控制程序》</w:t>
            </w:r>
            <w:r>
              <w:rPr>
                <w:rFonts w:hint="eastAsia"/>
                <w:b/>
                <w:color w:val="auto"/>
                <w:sz w:val="21"/>
                <w:szCs w:val="21"/>
              </w:rPr>
              <w:t xml:space="preserve"> ZFLH</w:t>
            </w:r>
            <w:r>
              <w:rPr>
                <w:b/>
                <w:color w:val="auto"/>
                <w:sz w:val="21"/>
                <w:szCs w:val="21"/>
              </w:rPr>
              <w:t>-QES/</w:t>
            </w:r>
            <w:r>
              <w:rPr>
                <w:rFonts w:hint="eastAsia"/>
                <w:b/>
                <w:color w:val="auto"/>
                <w:sz w:val="21"/>
                <w:szCs w:val="21"/>
              </w:rPr>
              <w:t>CX-24</w:t>
            </w:r>
            <w:r>
              <w:rPr>
                <w:rFonts w:hint="eastAsia" w:cs="宋体"/>
                <w:color w:val="auto"/>
                <w:sz w:val="21"/>
                <w:szCs w:val="21"/>
              </w:rPr>
              <w:t>，基本符合标准要求。</w:t>
            </w:r>
          </w:p>
          <w:p>
            <w:pPr>
              <w:rPr>
                <w:color w:val="auto"/>
                <w:sz w:val="21"/>
                <w:szCs w:val="21"/>
              </w:rPr>
            </w:pPr>
            <w:r>
              <w:rPr>
                <w:rFonts w:hint="eastAsia" w:cs="宋体"/>
                <w:color w:val="auto"/>
                <w:sz w:val="21"/>
                <w:szCs w:val="21"/>
              </w:rPr>
              <w:t>经查问：总经理、管代、各部门主管均经培训并参加了内部审核。</w:t>
            </w:r>
          </w:p>
          <w:p>
            <w:pPr>
              <w:pStyle w:val="7"/>
              <w:rPr>
                <w:color w:val="auto"/>
                <w:sz w:val="21"/>
                <w:szCs w:val="21"/>
              </w:rPr>
            </w:pPr>
            <w:r>
              <w:rPr>
                <w:rFonts w:hint="eastAsia" w:cs="宋体"/>
                <w:color w:val="auto"/>
                <w:sz w:val="21"/>
                <w:szCs w:val="21"/>
              </w:rPr>
              <w:t>20</w:t>
            </w:r>
            <w:r>
              <w:rPr>
                <w:rFonts w:cs="宋体"/>
                <w:color w:val="auto"/>
                <w:sz w:val="21"/>
                <w:szCs w:val="21"/>
              </w:rPr>
              <w:t>20</w:t>
            </w:r>
            <w:r>
              <w:rPr>
                <w:rFonts w:hint="eastAsia" w:cs="宋体"/>
                <w:color w:val="auto"/>
                <w:sz w:val="21"/>
                <w:szCs w:val="21"/>
              </w:rPr>
              <w:t>年</w:t>
            </w:r>
            <w:r>
              <w:rPr>
                <w:rFonts w:cs="宋体"/>
                <w:color w:val="auto"/>
                <w:sz w:val="21"/>
                <w:szCs w:val="21"/>
              </w:rPr>
              <w:t>6</w:t>
            </w:r>
            <w:r>
              <w:rPr>
                <w:rFonts w:hint="eastAsia" w:cs="宋体"/>
                <w:color w:val="auto"/>
                <w:sz w:val="21"/>
                <w:szCs w:val="21"/>
              </w:rPr>
              <w:t>月</w:t>
            </w:r>
            <w:r>
              <w:rPr>
                <w:rFonts w:cs="宋体"/>
                <w:color w:val="auto"/>
                <w:sz w:val="21"/>
                <w:szCs w:val="21"/>
              </w:rPr>
              <w:t>10</w:t>
            </w:r>
            <w:r>
              <w:rPr>
                <w:rFonts w:hint="eastAsia" w:cs="宋体"/>
                <w:color w:val="auto"/>
                <w:sz w:val="21"/>
                <w:szCs w:val="21"/>
              </w:rPr>
              <w:t>日开展管理体系内部审核活动，</w:t>
            </w:r>
          </w:p>
          <w:p>
            <w:pPr>
              <w:rPr>
                <w:rFonts w:hint="eastAsia"/>
                <w:color w:val="auto"/>
                <w:sz w:val="21"/>
                <w:szCs w:val="21"/>
              </w:rPr>
            </w:pPr>
            <w:r>
              <w:rPr>
                <w:rFonts w:hint="eastAsia"/>
                <w:color w:val="FF0000"/>
                <w:sz w:val="24"/>
                <w:szCs w:val="24"/>
              </w:rPr>
              <w:t>内部审核检查记录表中的不符合项与内审报告的不符合项不一致</w:t>
            </w:r>
          </w:p>
        </w:tc>
        <w:tc>
          <w:tcPr>
            <w:tcW w:w="829" w:type="dxa"/>
          </w:tcPr>
          <w:p>
            <w:pPr>
              <w:rPr>
                <w:rFonts w:hint="default" w:eastAsia="宋体"/>
                <w:sz w:val="21"/>
                <w:szCs w:val="21"/>
                <w:lang w:val="en-US" w:eastAsia="zh-CN"/>
              </w:rPr>
            </w:pPr>
            <w:r>
              <w:rPr>
                <w:rFonts w:hint="eastAsia"/>
                <w:color w:val="FF0000"/>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Cs/>
                <w:color w:val="auto"/>
                <w:sz w:val="21"/>
                <w:szCs w:val="21"/>
              </w:rPr>
            </w:pPr>
            <w:r>
              <w:rPr>
                <w:rFonts w:hint="eastAsia" w:cs="宋体"/>
                <w:color w:val="auto"/>
                <w:sz w:val="21"/>
                <w:szCs w:val="21"/>
              </w:rPr>
              <w:t>管理评审</w:t>
            </w:r>
          </w:p>
        </w:tc>
        <w:tc>
          <w:tcPr>
            <w:tcW w:w="960" w:type="dxa"/>
            <w:vAlign w:val="center"/>
          </w:tcPr>
          <w:p>
            <w:pPr>
              <w:rPr>
                <w:rFonts w:hint="eastAsia"/>
                <w:color w:val="auto"/>
                <w:sz w:val="21"/>
                <w:szCs w:val="21"/>
              </w:rPr>
            </w:pPr>
            <w:r>
              <w:rPr>
                <w:rFonts w:hint="eastAsia"/>
                <w:color w:val="auto"/>
                <w:sz w:val="21"/>
                <w:szCs w:val="21"/>
              </w:rPr>
              <w:t>QEO</w:t>
            </w:r>
          </w:p>
          <w:p>
            <w:pPr>
              <w:rPr>
                <w:color w:val="auto"/>
                <w:sz w:val="21"/>
                <w:szCs w:val="21"/>
              </w:rPr>
            </w:pPr>
            <w:r>
              <w:rPr>
                <w:color w:val="auto"/>
                <w:sz w:val="21"/>
                <w:szCs w:val="21"/>
              </w:rPr>
              <w:t>9.3</w:t>
            </w:r>
          </w:p>
        </w:tc>
        <w:tc>
          <w:tcPr>
            <w:tcW w:w="10760" w:type="dxa"/>
            <w:vAlign w:val="center"/>
          </w:tcPr>
          <w:p>
            <w:pPr>
              <w:spacing w:before="156" w:beforeLines="50"/>
              <w:rPr>
                <w:color w:val="auto"/>
                <w:sz w:val="21"/>
                <w:szCs w:val="21"/>
              </w:rPr>
            </w:pPr>
            <w:r>
              <w:rPr>
                <w:rFonts w:hint="eastAsia"/>
                <w:color w:val="auto"/>
                <w:sz w:val="21"/>
                <w:szCs w:val="21"/>
              </w:rPr>
              <w:t>公司制定了《管理评审控制程序</w:t>
            </w:r>
            <w:r>
              <w:rPr>
                <w:color w:val="auto"/>
                <w:sz w:val="21"/>
                <w:szCs w:val="21"/>
              </w:rPr>
              <w:t>ZFLH-QES/CX-25</w:t>
            </w:r>
            <w:r>
              <w:rPr>
                <w:rFonts w:hint="eastAsia"/>
                <w:color w:val="auto"/>
                <w:sz w:val="21"/>
                <w:szCs w:val="21"/>
              </w:rPr>
              <w:t>》对管理评审进行管理和控制，规定了：管理评审由公司总经理亲自主持，管理者代表协助进行；管理评审原则上定在每年进行一次。</w:t>
            </w:r>
          </w:p>
          <w:p>
            <w:pPr>
              <w:spacing w:before="50"/>
              <w:rPr>
                <w:color w:val="auto"/>
                <w:sz w:val="21"/>
                <w:szCs w:val="21"/>
              </w:rPr>
            </w:pPr>
            <w:r>
              <w:rPr>
                <w:rFonts w:hint="eastAsia" w:cs="宋体"/>
                <w:color w:val="auto"/>
                <w:sz w:val="21"/>
                <w:szCs w:val="21"/>
              </w:rPr>
              <w:t>查管理评审的计划：管理评</w:t>
            </w:r>
            <w:r>
              <w:rPr>
                <w:color w:val="auto"/>
                <w:sz w:val="21"/>
                <w:szCs w:val="21"/>
              </w:rPr>
              <w:t>审的时间：</w:t>
            </w:r>
            <w:r>
              <w:rPr>
                <w:rFonts w:hint="eastAsia" w:ascii="宋体" w:hAnsi="宋体"/>
                <w:color w:val="auto"/>
                <w:sz w:val="21"/>
                <w:szCs w:val="21"/>
              </w:rPr>
              <w:t>2020年6月20日</w:t>
            </w:r>
          </w:p>
          <w:p>
            <w:pPr>
              <w:spacing w:before="50"/>
              <w:rPr>
                <w:color w:val="auto"/>
                <w:sz w:val="21"/>
                <w:szCs w:val="21"/>
              </w:rPr>
            </w:pPr>
            <w:r>
              <w:rPr>
                <w:color w:val="auto"/>
                <w:sz w:val="21"/>
                <w:szCs w:val="21"/>
              </w:rPr>
              <w:t>主持人：</w:t>
            </w:r>
            <w:r>
              <w:rPr>
                <w:rFonts w:hint="eastAsia"/>
                <w:color w:val="auto"/>
                <w:sz w:val="21"/>
                <w:szCs w:val="21"/>
              </w:rPr>
              <w:t>佘丽花</w:t>
            </w:r>
            <w:r>
              <w:rPr>
                <w:color w:val="auto"/>
                <w:sz w:val="21"/>
                <w:szCs w:val="21"/>
              </w:rPr>
              <w:t xml:space="preserve">   参加人：</w:t>
            </w:r>
            <w:r>
              <w:rPr>
                <w:rFonts w:hint="eastAsia"/>
                <w:color w:val="auto"/>
                <w:sz w:val="21"/>
                <w:szCs w:val="21"/>
              </w:rPr>
              <w:t>总经理、管理代表、各部门负责人、职业健康安全代表</w:t>
            </w:r>
          </w:p>
          <w:p>
            <w:pPr>
              <w:spacing w:before="50"/>
              <w:rPr>
                <w:rFonts w:cs="宋体"/>
                <w:color w:val="auto"/>
                <w:sz w:val="21"/>
                <w:szCs w:val="21"/>
              </w:rPr>
            </w:pPr>
            <w:r>
              <w:rPr>
                <w:rFonts w:cs="宋体"/>
                <w:color w:val="auto"/>
                <w:sz w:val="21"/>
                <w:szCs w:val="21"/>
              </w:rPr>
              <w:t>要求每个部门需提交的管理评审</w:t>
            </w:r>
            <w:bookmarkStart w:id="0" w:name="_GoBack"/>
            <w:bookmarkEnd w:id="0"/>
            <w:r>
              <w:rPr>
                <w:rFonts w:cs="宋体"/>
                <w:color w:val="auto"/>
                <w:sz w:val="21"/>
                <w:szCs w:val="21"/>
              </w:rPr>
              <w:t>输入内容包含了标准条款的要求。时间安排符合程序文件的要求。</w:t>
            </w:r>
          </w:p>
          <w:p>
            <w:pPr>
              <w:spacing w:before="50"/>
              <w:rPr>
                <w:rFonts w:cs="宋体"/>
                <w:color w:val="auto"/>
                <w:sz w:val="21"/>
                <w:szCs w:val="21"/>
              </w:rPr>
            </w:pPr>
            <w:r>
              <w:rPr>
                <w:rFonts w:hint="eastAsia" w:cs="宋体"/>
                <w:color w:val="auto"/>
                <w:sz w:val="21"/>
                <w:szCs w:val="21"/>
              </w:rPr>
              <w:t>编制：方科      审批：佘丽花      日期： 2020年6月13日</w:t>
            </w:r>
          </w:p>
          <w:p>
            <w:pPr>
              <w:spacing w:before="50"/>
              <w:rPr>
                <w:rFonts w:cs="宋体"/>
                <w:color w:val="auto"/>
                <w:sz w:val="21"/>
                <w:szCs w:val="21"/>
              </w:rPr>
            </w:pPr>
            <w:r>
              <w:rPr>
                <w:rFonts w:cs="宋体"/>
                <w:color w:val="auto"/>
                <w:sz w:val="21"/>
                <w:szCs w:val="21"/>
              </w:rPr>
              <w:t>查看管理评审输入的资料：</w:t>
            </w:r>
            <w:r>
              <w:rPr>
                <w:rFonts w:hint="eastAsia" w:cs="宋体"/>
                <w:color w:val="auto"/>
                <w:sz w:val="21"/>
                <w:szCs w:val="21"/>
              </w:rPr>
              <w:t>1. 2020年度内部审核结果；2.法律法规评价结果；3.顾客的反馈，包括满意程度的测量结果及与顾客沟通的结果等；4.过程的业绩和产品的符合性；5.管理体系运行状况以及管理方针和管理目标适宜性评价；6.相关方信息交流；7.预防措施和纠正措施的实施状况；8.可能影响质量职业健康安全一体化管理体系的变化；9.改进的建议；</w:t>
            </w:r>
            <w:r>
              <w:rPr>
                <w:rFonts w:cs="宋体"/>
                <w:color w:val="auto"/>
                <w:sz w:val="21"/>
                <w:szCs w:val="21"/>
              </w:rPr>
              <w:t xml:space="preserve"> </w:t>
            </w:r>
          </w:p>
          <w:p>
            <w:pPr>
              <w:spacing w:before="50"/>
              <w:rPr>
                <w:color w:val="auto"/>
                <w:sz w:val="21"/>
                <w:szCs w:val="21"/>
              </w:rPr>
            </w:pPr>
            <w:r>
              <w:rPr>
                <w:rFonts w:hint="eastAsia" w:cs="宋体"/>
                <w:color w:val="auto"/>
                <w:sz w:val="21"/>
                <w:szCs w:val="21"/>
              </w:rPr>
              <w:t>查看管理评审报告，编制：办公室   审核：方科     批准：佘丽花   日期：2020年6月20日</w:t>
            </w:r>
          </w:p>
          <w:p>
            <w:pPr>
              <w:spacing w:before="50"/>
              <w:rPr>
                <w:rFonts w:hint="eastAsia"/>
                <w:color w:val="auto"/>
                <w:sz w:val="21"/>
                <w:szCs w:val="21"/>
              </w:rPr>
            </w:pPr>
            <w:r>
              <w:rPr>
                <w:rFonts w:cs="宋体"/>
                <w:color w:val="auto"/>
                <w:sz w:val="21"/>
                <w:szCs w:val="21"/>
              </w:rPr>
              <w:t>结论：</w:t>
            </w:r>
            <w:r>
              <w:rPr>
                <w:rFonts w:hint="eastAsia" w:ascii="宋体" w:hAnsi="宋体"/>
                <w:color w:val="auto"/>
                <w:sz w:val="21"/>
                <w:szCs w:val="21"/>
              </w:rPr>
              <w:t>公司质量、环境和职业健康安全管理体系具有适宜性、充分性和有效性，管理方针和管理目标适宜，体系运行有效。</w:t>
            </w:r>
            <w:r>
              <w:rPr>
                <w:rFonts w:hint="eastAsia"/>
                <w:color w:val="auto"/>
                <w:sz w:val="21"/>
                <w:szCs w:val="21"/>
              </w:rPr>
              <w:t>符合要求。</w:t>
            </w:r>
          </w:p>
        </w:tc>
        <w:tc>
          <w:tcPr>
            <w:tcW w:w="829" w:type="dxa"/>
          </w:tcPr>
          <w:p>
            <w:pPr>
              <w:rPr>
                <w:sz w:val="21"/>
                <w:szCs w:val="21"/>
              </w:rPr>
            </w:pPr>
          </w:p>
        </w:tc>
      </w:tr>
    </w:tbl>
    <w:p>
      <w:pPr>
        <w:rPr>
          <w:sz w:val="21"/>
          <w:szCs w:val="21"/>
        </w:rPr>
      </w:pPr>
      <w:r>
        <w:rPr>
          <w:sz w:val="21"/>
          <w:szCs w:val="21"/>
        </w:rPr>
        <w:ptab w:relativeTo="margin" w:alignment="center" w:leader="none"/>
      </w:r>
    </w:p>
    <w:p>
      <w:pPr>
        <w:pStyle w:val="4"/>
        <w:rPr>
          <w:rFonts w:hint="eastAsia"/>
          <w:sz w:val="21"/>
          <w:szCs w:val="21"/>
        </w:rPr>
      </w:pPr>
      <w:r>
        <w:rPr>
          <w:rFonts w:hint="eastAsia"/>
          <w:sz w:val="21"/>
          <w:szCs w:val="21"/>
        </w:rPr>
        <w:t>说明：不符合标注N</w:t>
      </w:r>
    </w:p>
    <w:p>
      <w:pPr>
        <w:pStyle w:val="4"/>
        <w:rPr>
          <w:rFonts w:hint="eastAsia"/>
          <w:sz w:val="21"/>
          <w:szCs w:val="21"/>
        </w:rPr>
      </w:pPr>
    </w:p>
    <w:p>
      <w:pPr>
        <w:pStyle w:val="4"/>
        <w:rPr>
          <w:rFonts w:hint="eastAsia"/>
          <w:sz w:val="21"/>
          <w:szCs w:val="21"/>
        </w:rPr>
      </w:pPr>
    </w:p>
    <w:p>
      <w:pPr>
        <w:pStyle w:val="4"/>
        <w:rPr>
          <w:rFonts w:hint="eastAsia"/>
          <w:sz w:val="21"/>
          <w:szCs w:val="21"/>
        </w:rPr>
      </w:pPr>
    </w:p>
    <w:p>
      <w:pPr>
        <w:pStyle w:val="4"/>
        <w:rPr>
          <w:rFonts w:hint="eastAsia"/>
          <w:sz w:val="21"/>
          <w:szCs w:val="21"/>
        </w:rPr>
      </w:pPr>
    </w:p>
    <w:p>
      <w:pPr>
        <w:spacing w:line="480" w:lineRule="exact"/>
        <w:jc w:val="center"/>
        <w:rPr>
          <w:rFonts w:ascii="隶书" w:hAnsi="宋体" w:eastAsia="隶书"/>
          <w:bCs/>
          <w:color w:val="000000"/>
          <w:sz w:val="21"/>
          <w:szCs w:val="21"/>
        </w:rPr>
      </w:pPr>
      <w:r>
        <w:rPr>
          <w:rFonts w:hint="eastAsia" w:ascii="隶书" w:hAnsi="宋体" w:eastAsia="隶书"/>
          <w:bCs/>
          <w:color w:val="000000"/>
          <w:sz w:val="21"/>
          <w:szCs w:val="21"/>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6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760" w:type="dxa"/>
            <w:vAlign w:val="center"/>
          </w:tcPr>
          <w:p>
            <w:pPr>
              <w:rPr>
                <w:sz w:val="21"/>
                <w:szCs w:val="21"/>
              </w:rPr>
            </w:pPr>
            <w:r>
              <w:rPr>
                <w:rFonts w:hint="eastAsia" w:cs="宋体"/>
                <w:sz w:val="21"/>
                <w:szCs w:val="21"/>
              </w:rPr>
              <w:t>受审核部门：</w:t>
            </w:r>
            <w:r>
              <w:rPr>
                <w:rFonts w:hint="eastAsia" w:ascii="宋体" w:hAnsi="宋体" w:eastAsia="宋体" w:cs="Times New Roman"/>
                <w:sz w:val="21"/>
                <w:szCs w:val="21"/>
                <w:lang w:val="en-US" w:eastAsia="zh-CN"/>
              </w:rPr>
              <w:t>市场及公关部、</w:t>
            </w:r>
            <w:r>
              <w:rPr>
                <w:rFonts w:hint="eastAsia" w:ascii="宋体" w:hAnsi="宋体" w:eastAsia="宋体" w:cs="宋体"/>
                <w:sz w:val="21"/>
                <w:szCs w:val="21"/>
              </w:rPr>
              <w:t>经营管理部</w:t>
            </w:r>
            <w:r>
              <w:rPr>
                <w:rFonts w:hint="eastAsia" w:ascii="宋体" w:hAnsi="宋体"/>
                <w:sz w:val="21"/>
                <w:szCs w:val="21"/>
              </w:rPr>
              <w:t xml:space="preserve">    </w:t>
            </w:r>
            <w:r>
              <w:rPr>
                <w:sz w:val="21"/>
                <w:szCs w:val="21"/>
              </w:rPr>
              <w:t xml:space="preserve">   </w:t>
            </w:r>
            <w:r>
              <w:rPr>
                <w:rFonts w:hint="eastAsia" w:cs="宋体"/>
                <w:sz w:val="21"/>
                <w:szCs w:val="21"/>
              </w:rPr>
              <w:t>主管领导：</w:t>
            </w:r>
            <w:r>
              <w:rPr>
                <w:rFonts w:hint="eastAsia" w:ascii="宋体" w:hAnsi="宋体"/>
                <w:sz w:val="21"/>
                <w:szCs w:val="21"/>
              </w:rPr>
              <w:t>佘丽花</w:t>
            </w:r>
            <w:r>
              <w:rPr>
                <w:sz w:val="21"/>
                <w:szCs w:val="21"/>
              </w:rPr>
              <w:t xml:space="preserve">     </w:t>
            </w:r>
            <w:r>
              <w:rPr>
                <w:rFonts w:hint="eastAsia" w:cs="宋体"/>
                <w:sz w:val="21"/>
                <w:szCs w:val="21"/>
              </w:rPr>
              <w:t>陪同人员：</w:t>
            </w:r>
            <w:r>
              <w:rPr>
                <w:rFonts w:hint="eastAsia"/>
                <w:sz w:val="21"/>
                <w:szCs w:val="21"/>
              </w:rPr>
              <w:t xml:space="preserve"> </w:t>
            </w:r>
          </w:p>
        </w:tc>
        <w:tc>
          <w:tcPr>
            <w:tcW w:w="829"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760" w:type="dxa"/>
            <w:vAlign w:val="center"/>
          </w:tcPr>
          <w:p>
            <w:pPr>
              <w:spacing w:before="120"/>
              <w:rPr>
                <w:rFonts w:hint="eastAsia" w:eastAsia="宋体"/>
                <w:sz w:val="21"/>
                <w:szCs w:val="21"/>
                <w:lang w:eastAsia="zh-CN"/>
              </w:rPr>
            </w:pPr>
            <w:r>
              <w:rPr>
                <w:rFonts w:hint="eastAsia" w:cs="宋体"/>
                <w:sz w:val="21"/>
                <w:szCs w:val="21"/>
              </w:rPr>
              <w:t>审核员：</w:t>
            </w:r>
            <w:r>
              <w:rPr>
                <w:rFonts w:hint="eastAsia" w:ascii="宋体" w:hAnsi="宋体"/>
                <w:sz w:val="21"/>
                <w:szCs w:val="21"/>
                <w:lang w:val="en-US" w:eastAsia="zh-CN"/>
              </w:rPr>
              <w:t>周涛、</w:t>
            </w:r>
            <w:r>
              <w:rPr>
                <w:sz w:val="21"/>
                <w:szCs w:val="21"/>
              </w:rPr>
              <w:t>王亚伟</w:t>
            </w:r>
            <w:r>
              <w:rPr>
                <w:rFonts w:hint="eastAsia"/>
                <w:sz w:val="21"/>
                <w:szCs w:val="21"/>
                <w:lang w:val="en-US" w:eastAsia="zh-CN"/>
              </w:rPr>
              <w:t>(专家)</w:t>
            </w:r>
            <w:r>
              <w:rPr>
                <w:rFonts w:hint="eastAsia" w:ascii="宋体" w:hAnsi="宋体"/>
                <w:sz w:val="21"/>
                <w:szCs w:val="21"/>
              </w:rPr>
              <w:t xml:space="preserve">  </w:t>
            </w:r>
            <w:r>
              <w:rPr>
                <w:sz w:val="21"/>
                <w:szCs w:val="21"/>
              </w:rPr>
              <w:t xml:space="preserve">    </w:t>
            </w:r>
            <w:r>
              <w:rPr>
                <w:rFonts w:hint="eastAsia" w:cs="宋体"/>
                <w:sz w:val="21"/>
                <w:szCs w:val="21"/>
              </w:rPr>
              <w:t>审核时间：</w:t>
            </w:r>
            <w:r>
              <w:rPr>
                <w:rFonts w:hint="eastAsia"/>
                <w:sz w:val="21"/>
                <w:szCs w:val="21"/>
              </w:rPr>
              <w:t>2020.0</w:t>
            </w:r>
            <w:r>
              <w:rPr>
                <w:sz w:val="21"/>
                <w:szCs w:val="21"/>
              </w:rPr>
              <w:t>8</w:t>
            </w:r>
            <w:r>
              <w:rPr>
                <w:rFonts w:hint="eastAsia"/>
                <w:sz w:val="21"/>
                <w:szCs w:val="21"/>
              </w:rPr>
              <w:t>.</w:t>
            </w:r>
            <w:r>
              <w:rPr>
                <w:sz w:val="21"/>
                <w:szCs w:val="21"/>
              </w:rPr>
              <w:t>1</w:t>
            </w:r>
            <w:r>
              <w:rPr>
                <w:rFonts w:hint="eastAsia"/>
                <w:sz w:val="21"/>
                <w:szCs w:val="21"/>
                <w:lang w:val="en-US" w:eastAsia="zh-CN"/>
              </w:rPr>
              <w:t>0</w:t>
            </w:r>
          </w:p>
        </w:tc>
        <w:tc>
          <w:tcPr>
            <w:tcW w:w="82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760" w:type="dxa"/>
            <w:vAlign w:val="center"/>
          </w:tcPr>
          <w:p>
            <w:pPr>
              <w:rPr>
                <w:sz w:val="21"/>
                <w:szCs w:val="21"/>
              </w:rPr>
            </w:pPr>
            <w:r>
              <w:rPr>
                <w:rFonts w:hint="eastAsia"/>
                <w:sz w:val="21"/>
                <w:szCs w:val="21"/>
              </w:rPr>
              <w:t>审核条款：</w:t>
            </w:r>
          </w:p>
        </w:tc>
        <w:tc>
          <w:tcPr>
            <w:tcW w:w="82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widowControl/>
              <w:suppressLineNumbers w:val="0"/>
              <w:jc w:val="left"/>
              <w:rPr>
                <w:sz w:val="21"/>
                <w:szCs w:val="21"/>
              </w:rPr>
            </w:pPr>
            <w:r>
              <w:rPr>
                <w:rFonts w:hint="eastAsia" w:asciiTheme="minorEastAsia" w:hAnsiTheme="minorEastAsia" w:eastAsiaTheme="minorEastAsia" w:cstheme="minorEastAsia"/>
                <w:sz w:val="21"/>
                <w:szCs w:val="21"/>
                <w:lang w:val="en-US" w:eastAsia="zh-CN"/>
              </w:rPr>
              <w:t>风险和机遇及应对措施</w:t>
            </w:r>
          </w:p>
        </w:tc>
        <w:tc>
          <w:tcPr>
            <w:tcW w:w="960" w:type="dxa"/>
            <w:vAlign w:val="top"/>
          </w:tcPr>
          <w:p>
            <w:pPr>
              <w:pStyle w:val="7"/>
              <w:rPr>
                <w:rFonts w:hint="default" w:eastAsia="宋体"/>
                <w:sz w:val="21"/>
                <w:szCs w:val="21"/>
                <w:lang w:val="en-US" w:eastAsia="zh-CN"/>
              </w:rPr>
            </w:pPr>
            <w:r>
              <w:rPr>
                <w:rFonts w:hint="eastAsia" w:asciiTheme="minorEastAsia" w:hAnsiTheme="minorEastAsia" w:eastAsiaTheme="minorEastAsia" w:cstheme="minorEastAsia"/>
                <w:bCs/>
                <w:color w:val="auto"/>
                <w:sz w:val="21"/>
                <w:szCs w:val="21"/>
                <w:lang w:val="en-US" w:eastAsia="zh-CN"/>
              </w:rPr>
              <w:t>QEO</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6.1</w:t>
            </w:r>
          </w:p>
        </w:tc>
        <w:tc>
          <w:tcPr>
            <w:tcW w:w="10760" w:type="dxa"/>
            <w:vAlign w:val="top"/>
          </w:tcPr>
          <w:p>
            <w:pPr>
              <w:adjustRightInd w:val="0"/>
              <w:spacing w:line="360" w:lineRule="auto"/>
              <w:jc w:val="left"/>
              <w:rPr>
                <w:rFonts w:hint="eastAsia"/>
                <w:color w:val="auto"/>
                <w:szCs w:val="21"/>
              </w:rPr>
            </w:pPr>
            <w:r>
              <w:rPr>
                <w:rFonts w:hint="eastAsia"/>
                <w:color w:val="auto"/>
                <w:szCs w:val="21"/>
              </w:rPr>
              <w:t xml:space="preserve">提供《组织的内外重要环境因素分析表》，确定了公司相关的内外部因素。监视和评审情况：每年监视评审一次，一般是从网络获取。 </w:t>
            </w:r>
          </w:p>
          <w:p>
            <w:pPr>
              <w:spacing w:line="360" w:lineRule="auto"/>
              <w:rPr>
                <w:rFonts w:hint="eastAsia" w:asciiTheme="minorEastAsia" w:hAnsiTheme="minorEastAsia" w:eastAsiaTheme="minorEastAsia" w:cstheme="minorEastAsia"/>
                <w:sz w:val="21"/>
                <w:szCs w:val="21"/>
                <w:lang w:val="en-US" w:eastAsia="zh-CN"/>
              </w:rPr>
            </w:pPr>
            <w:r>
              <w:rPr>
                <w:rFonts w:hint="eastAsia" w:ascii="宋体" w:hAnsi="宋体" w:eastAsia="宋体" w:cs="Times New Roman"/>
                <w:sz w:val="21"/>
                <w:szCs w:val="21"/>
                <w:lang w:val="en-US" w:eastAsia="zh-CN"/>
              </w:rPr>
              <w:t>市场及公关部、</w:t>
            </w:r>
            <w:r>
              <w:rPr>
                <w:rFonts w:hint="eastAsia" w:ascii="宋体" w:hAnsi="宋体" w:eastAsia="宋体" w:cs="宋体"/>
                <w:sz w:val="21"/>
                <w:szCs w:val="21"/>
              </w:rPr>
              <w:t>经营管理部</w:t>
            </w:r>
            <w:r>
              <w:rPr>
                <w:rFonts w:hint="eastAsia" w:asciiTheme="minorEastAsia" w:hAnsiTheme="minorEastAsia" w:eastAsiaTheme="minorEastAsia" w:cstheme="minorEastAsia"/>
                <w:sz w:val="21"/>
                <w:szCs w:val="21"/>
                <w:lang w:val="en-US" w:eastAsia="zh-CN"/>
              </w:rPr>
              <w:t>的风险是车辆的碰撞和自燃，制定措施是进行疏导和按照线路行驶，准备灭火器材。</w:t>
            </w:r>
          </w:p>
          <w:p>
            <w:pPr>
              <w:adjustRightInd w:val="0"/>
              <w:spacing w:line="360" w:lineRule="auto"/>
              <w:jc w:val="left"/>
              <w:rPr>
                <w:sz w:val="21"/>
                <w:szCs w:val="21"/>
              </w:rPr>
            </w:pPr>
            <w:r>
              <w:rPr>
                <w:rFonts w:hint="eastAsia" w:asciiTheme="minorEastAsia" w:hAnsiTheme="minorEastAsia" w:eastAsiaTheme="minorEastAsia" w:cstheme="minorEastAsia"/>
                <w:sz w:val="21"/>
                <w:szCs w:val="21"/>
                <w:lang w:val="en-US" w:eastAsia="zh-CN"/>
              </w:rPr>
              <w:t>机遇是国家政策，随着国家对环境的要求提高以及车辆越来越多，停车场会越来越多，停车场业务会越来越多，给企业做大做强提供了机遇，应该好好把握。</w:t>
            </w:r>
            <w:r>
              <w:rPr>
                <w:rFonts w:hint="eastAsia"/>
                <w:color w:val="auto"/>
                <w:szCs w:val="21"/>
              </w:rPr>
              <w:t xml:space="preserve">  </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160" w:type="dxa"/>
            <w:vAlign w:val="center"/>
          </w:tcPr>
          <w:p>
            <w:pPr>
              <w:rPr>
                <w:rFonts w:hint="eastAsia" w:eastAsia="宋体" w:cs="宋体"/>
                <w:color w:val="auto"/>
                <w:sz w:val="21"/>
                <w:szCs w:val="21"/>
                <w:lang w:eastAsia="zh-CN"/>
              </w:rPr>
            </w:pPr>
            <w:r>
              <w:rPr>
                <w:rFonts w:hint="eastAsia" w:cs="宋体"/>
                <w:color w:val="auto"/>
                <w:sz w:val="21"/>
                <w:szCs w:val="21"/>
                <w:lang w:eastAsia="zh-CN"/>
              </w:rPr>
              <w:t>策划</w:t>
            </w:r>
          </w:p>
        </w:tc>
        <w:tc>
          <w:tcPr>
            <w:tcW w:w="960" w:type="dxa"/>
            <w:vAlign w:val="center"/>
          </w:tcPr>
          <w:p>
            <w:pPr>
              <w:rPr>
                <w:rFonts w:hint="default" w:eastAsia="宋体"/>
                <w:color w:val="auto"/>
                <w:sz w:val="21"/>
                <w:szCs w:val="21"/>
                <w:lang w:val="en-US" w:eastAsia="zh-CN"/>
              </w:rPr>
            </w:pPr>
            <w:r>
              <w:rPr>
                <w:rFonts w:hint="eastAsia"/>
                <w:color w:val="auto"/>
                <w:sz w:val="21"/>
                <w:szCs w:val="21"/>
                <w:lang w:val="en-US" w:eastAsia="zh-CN"/>
              </w:rPr>
              <w:t>Q8.1</w:t>
            </w:r>
          </w:p>
        </w:tc>
        <w:tc>
          <w:tcPr>
            <w:tcW w:w="10760" w:type="dxa"/>
            <w:vAlign w:val="top"/>
          </w:tcPr>
          <w:p>
            <w:pPr>
              <w:adjustRightInd w:val="0"/>
              <w:spacing w:line="360" w:lineRule="auto"/>
              <w:jc w:val="left"/>
              <w:rPr>
                <w:rFonts w:ascii="宋体" w:hAnsi="宋体"/>
                <w:color w:val="auto"/>
              </w:rPr>
            </w:pPr>
            <w:r>
              <w:rPr>
                <w:rFonts w:hint="eastAsia" w:ascii="宋体" w:hAnsi="宋体"/>
                <w:color w:val="auto"/>
              </w:rPr>
              <w:t>产品</w:t>
            </w:r>
            <w:r>
              <w:rPr>
                <w:rFonts w:ascii="宋体" w:hAnsi="宋体"/>
                <w:color w:val="auto"/>
              </w:rPr>
              <w:t>/</w:t>
            </w:r>
            <w:r>
              <w:rPr>
                <w:rFonts w:hint="eastAsia" w:ascii="宋体" w:hAnsi="宋体"/>
                <w:color w:val="auto"/>
              </w:rPr>
              <w:t>服务的实现</w:t>
            </w:r>
            <w:r>
              <w:rPr>
                <w:rFonts w:hint="eastAsia" w:ascii="宋体" w:hAnsi="宋体"/>
                <w:color w:val="auto"/>
                <w:szCs w:val="22"/>
              </w:rPr>
              <w:t>过程（核实文件描述与实际情况的一致性）：</w:t>
            </w:r>
          </w:p>
          <w:p>
            <w:pPr>
              <w:adjustRightInd w:val="0"/>
              <w:spacing w:line="360" w:lineRule="auto"/>
              <w:jc w:val="left"/>
              <w:rPr>
                <w:rFonts w:ascii="宋体" w:hAnsi="宋体"/>
                <w:color w:val="auto"/>
                <w:szCs w:val="21"/>
              </w:rPr>
            </w:pPr>
            <w:r>
              <w:rPr>
                <w:rFonts w:hint="eastAsia" w:ascii="宋体" w:hAnsi="宋体"/>
                <w:color w:val="auto"/>
                <w:szCs w:val="21"/>
              </w:rPr>
              <w:t>1）过程描述：</w:t>
            </w:r>
          </w:p>
          <w:p>
            <w:pPr>
              <w:spacing w:line="360" w:lineRule="auto"/>
              <w:rPr>
                <w:color w:val="auto"/>
                <w:szCs w:val="21"/>
              </w:rPr>
            </w:pPr>
            <w:r>
              <w:rPr>
                <w:rFonts w:hint="eastAsia" w:ascii="宋体" w:hAnsi="宋体"/>
                <w:color w:val="auto"/>
                <w:szCs w:val="21"/>
              </w:rPr>
              <w:t xml:space="preserve">    </w:t>
            </w:r>
            <w:r>
              <w:rPr>
                <w:rFonts w:hint="eastAsia"/>
                <w:color w:val="auto"/>
                <w:szCs w:val="21"/>
              </w:rPr>
              <w:t xml:space="preserve"> </w:t>
            </w:r>
            <w:r>
              <w:rPr>
                <w:rFonts w:hint="eastAsia" w:ascii="宋体" w:hAnsi="宋体" w:cs="Arial"/>
                <w:color w:val="auto"/>
                <w:szCs w:val="21"/>
                <w:lang w:val="en-US" w:eastAsia="zh-CN"/>
              </w:rPr>
              <w:t>服务</w:t>
            </w:r>
            <w:r>
              <w:rPr>
                <w:rFonts w:hint="eastAsia" w:ascii="宋体" w:hAnsi="宋体" w:cs="Arial"/>
                <w:color w:val="auto"/>
                <w:szCs w:val="21"/>
              </w:rPr>
              <w:t>过程：</w:t>
            </w:r>
            <w:r>
              <w:rPr>
                <w:rFonts w:hint="eastAsia" w:ascii="宋体" w:hAnsi="宋体" w:eastAsia="宋体" w:cs="Arial"/>
                <w:color w:val="auto"/>
                <w:szCs w:val="21"/>
              </w:rPr>
              <w:t>车牌抓拍、识别→车辆进场→自助泊车→后台管理系统→车牌抓拍、识别→车辆出厂 ；</w:t>
            </w:r>
          </w:p>
          <w:p>
            <w:pPr>
              <w:adjustRightInd w:val="0"/>
              <w:spacing w:line="360" w:lineRule="auto"/>
              <w:jc w:val="left"/>
              <w:rPr>
                <w:rFonts w:ascii="宋体" w:hAnsi="宋体"/>
                <w:color w:val="auto"/>
                <w:szCs w:val="21"/>
              </w:rPr>
            </w:pPr>
            <w:r>
              <w:rPr>
                <w:rFonts w:hint="eastAsia" w:ascii="宋体" w:hAnsi="宋体"/>
                <w:color w:val="auto"/>
                <w:szCs w:val="21"/>
              </w:rPr>
              <w:t>2）组织辨识的关键过程为（</w:t>
            </w:r>
            <w:r>
              <w:rPr>
                <w:rFonts w:ascii="宋体" w:hAnsi="宋体"/>
                <w:color w:val="auto"/>
                <w:szCs w:val="21"/>
              </w:rPr>
              <w:t>QMS</w:t>
            </w:r>
            <w:r>
              <w:rPr>
                <w:rFonts w:hint="eastAsia" w:ascii="宋体" w:hAnsi="宋体"/>
                <w:color w:val="auto"/>
                <w:szCs w:val="21"/>
              </w:rPr>
              <w:t>/EC/MD）：</w:t>
            </w:r>
          </w:p>
          <w:p>
            <w:pPr>
              <w:adjustRightInd w:val="0"/>
              <w:spacing w:line="360" w:lineRule="auto"/>
              <w:jc w:val="left"/>
              <w:rPr>
                <w:rFonts w:ascii="宋体" w:hAnsi="宋体"/>
                <w:color w:val="auto"/>
                <w:szCs w:val="21"/>
              </w:rPr>
            </w:pPr>
            <w:r>
              <w:rPr>
                <w:rFonts w:hint="eastAsia" w:ascii="宋体" w:hAnsi="宋体"/>
                <w:color w:val="auto"/>
                <w:szCs w:val="21"/>
              </w:rPr>
              <w:t xml:space="preserve"> </w:t>
            </w:r>
            <w:r>
              <w:rPr>
                <w:rFonts w:hint="eastAsia" w:ascii="宋体" w:hAnsi="宋体" w:eastAsia="宋体" w:cs="Times New Roman"/>
                <w:color w:val="auto"/>
                <w:szCs w:val="21"/>
              </w:rPr>
              <w:t>关键过程是</w:t>
            </w:r>
            <w:r>
              <w:rPr>
                <w:rFonts w:hint="eastAsia" w:ascii="宋体" w:hAnsi="宋体" w:eastAsia="宋体" w:cs="Times New Roman"/>
                <w:color w:val="auto"/>
                <w:szCs w:val="21"/>
                <w:lang w:val="en-US" w:eastAsia="zh-CN"/>
              </w:rPr>
              <w:t>停车服务过程</w:t>
            </w:r>
            <w:r>
              <w:rPr>
                <w:rFonts w:hint="eastAsia" w:ascii="宋体" w:hAnsi="宋体" w:eastAsia="宋体" w:cs="Times New Roman"/>
                <w:color w:val="auto"/>
                <w:szCs w:val="21"/>
              </w:rPr>
              <w:t>。</w:t>
            </w:r>
          </w:p>
          <w:p>
            <w:pPr>
              <w:adjustRightInd w:val="0"/>
              <w:spacing w:line="360" w:lineRule="auto"/>
              <w:ind w:firstLine="315" w:firstLineChars="150"/>
              <w:jc w:val="left"/>
              <w:rPr>
                <w:rFonts w:hint="eastAsia" w:cs="宋体"/>
                <w:color w:val="auto"/>
                <w:sz w:val="21"/>
                <w:szCs w:val="21"/>
              </w:rPr>
            </w:pPr>
            <w:r>
              <w:rPr>
                <w:rFonts w:hint="eastAsia" w:ascii="宋体" w:hAnsi="宋体"/>
                <w:color w:val="auto"/>
                <w:szCs w:val="21"/>
              </w:rPr>
              <w:t>辨识是否正确：</w:t>
            </w:r>
            <w:r>
              <w:rPr>
                <w:rFonts w:hint="eastAsia" w:ascii="宋体" w:hAnsi="宋体" w:cs="宋体"/>
                <w:color w:val="auto"/>
                <w:szCs w:val="21"/>
              </w:rPr>
              <w:t>■</w:t>
            </w:r>
            <w:r>
              <w:rPr>
                <w:rFonts w:hint="eastAsia" w:ascii="宋体" w:hAnsi="宋体"/>
                <w:color w:val="auto"/>
                <w:szCs w:val="21"/>
              </w:rPr>
              <w:t>正确</w:t>
            </w:r>
            <w:r>
              <w:rPr>
                <w:rFonts w:ascii="宋体" w:hAnsi="宋体"/>
                <w:color w:val="auto"/>
                <w:szCs w:val="21"/>
              </w:rPr>
              <w:t xml:space="preserve"> </w:t>
            </w:r>
            <w:r>
              <w:rPr>
                <w:rFonts w:hint="eastAsia" w:ascii="宋体" w:hAnsi="宋体"/>
                <w:color w:val="auto"/>
                <w:szCs w:val="21"/>
              </w:rPr>
              <w:t xml:space="preserve">  □不正确或遗漏，说明：</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cs="宋体"/>
                <w:color w:val="auto"/>
                <w:sz w:val="21"/>
                <w:szCs w:val="21"/>
              </w:rPr>
            </w:pPr>
          </w:p>
        </w:tc>
        <w:tc>
          <w:tcPr>
            <w:tcW w:w="960" w:type="dxa"/>
            <w:vAlign w:val="center"/>
          </w:tcPr>
          <w:p>
            <w:pPr>
              <w:rPr>
                <w:rFonts w:hint="eastAsia"/>
                <w:color w:val="auto"/>
                <w:sz w:val="21"/>
                <w:szCs w:val="21"/>
              </w:rPr>
            </w:pPr>
          </w:p>
        </w:tc>
        <w:tc>
          <w:tcPr>
            <w:tcW w:w="10760" w:type="dxa"/>
            <w:vAlign w:val="top"/>
          </w:tcPr>
          <w:p>
            <w:pPr>
              <w:adjustRightInd w:val="0"/>
              <w:spacing w:line="360" w:lineRule="auto"/>
              <w:jc w:val="left"/>
              <w:rPr>
                <w:rFonts w:ascii="宋体" w:hAnsi="宋体"/>
                <w:color w:val="auto"/>
              </w:rPr>
            </w:pPr>
            <w:r>
              <w:rPr>
                <w:rFonts w:hint="eastAsia" w:ascii="宋体" w:hAnsi="宋体"/>
                <w:color w:val="auto"/>
              </w:rPr>
              <w:t>外包过程及管控情况：</w:t>
            </w:r>
            <w:r>
              <w:rPr>
                <w:rFonts w:ascii="宋体" w:hAnsi="宋体"/>
                <w:color w:val="auto"/>
              </w:rPr>
              <w:t xml:space="preserve"> </w:t>
            </w:r>
          </w:p>
          <w:p>
            <w:pPr>
              <w:adjustRightInd w:val="0"/>
              <w:spacing w:line="360" w:lineRule="auto"/>
              <w:jc w:val="left"/>
              <w:rPr>
                <w:rFonts w:ascii="宋体" w:hAnsi="宋体"/>
                <w:color w:val="auto"/>
              </w:rPr>
            </w:pPr>
            <w:r>
              <w:rPr>
                <w:rFonts w:hint="eastAsia" w:ascii="宋体" w:hAnsi="宋体" w:cs="宋体"/>
                <w:color w:val="auto"/>
                <w:szCs w:val="21"/>
              </w:rPr>
              <w:t>■</w:t>
            </w:r>
            <w:r>
              <w:rPr>
                <w:rFonts w:hint="eastAsia" w:ascii="宋体" w:hAnsi="宋体"/>
                <w:color w:val="auto"/>
                <w:szCs w:val="21"/>
              </w:rPr>
              <w:t>无</w:t>
            </w:r>
            <w:r>
              <w:rPr>
                <w:rFonts w:ascii="宋体" w:hAnsi="宋体"/>
                <w:color w:val="auto"/>
                <w:szCs w:val="21"/>
              </w:rPr>
              <w:t xml:space="preserve"> </w:t>
            </w:r>
            <w:r>
              <w:rPr>
                <w:rFonts w:hint="eastAsia" w:ascii="宋体" w:hAnsi="宋体"/>
                <w:color w:val="auto"/>
                <w:szCs w:val="21"/>
              </w:rPr>
              <w:t xml:space="preserve"> □ 有，说明具体的外包过程及管理控制情况</w:t>
            </w:r>
            <w:r>
              <w:rPr>
                <w:rFonts w:hint="eastAsia" w:ascii="宋体" w:hAnsi="宋体"/>
                <w:color w:val="auto"/>
              </w:rPr>
              <w:t>：</w:t>
            </w:r>
          </w:p>
          <w:p>
            <w:pPr>
              <w:tabs>
                <w:tab w:val="left" w:pos="1305"/>
              </w:tabs>
              <w:rPr>
                <w:rFonts w:hint="eastAsia" w:cs="宋体"/>
                <w:color w:val="auto"/>
                <w:sz w:val="21"/>
                <w:szCs w:val="21"/>
              </w:rPr>
            </w:pPr>
            <w:r>
              <w:rPr>
                <w:rFonts w:hint="eastAsia" w:ascii="宋体" w:hAnsi="宋体"/>
                <w:color w:val="auto"/>
              </w:rPr>
              <w:t xml:space="preserve">   </w:t>
            </w:r>
            <w:r>
              <w:rPr>
                <w:rFonts w:hint="eastAsia" w:ascii="宋体" w:hAnsi="宋体"/>
                <w:color w:val="auto"/>
                <w:u w:val="single"/>
                <w:lang w:val="en-US" w:eastAsia="zh-CN"/>
              </w:rPr>
              <w:t>无外包过程</w:t>
            </w:r>
            <w:r>
              <w:rPr>
                <w:rFonts w:hint="eastAsia" w:ascii="宋体" w:hAnsi="宋体"/>
                <w:color w:val="auto"/>
                <w:u w:val="single"/>
              </w:rPr>
              <w:t>。</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widowControl/>
              <w:suppressLineNumbers w:val="0"/>
              <w:jc w:val="left"/>
              <w:rPr>
                <w:rFonts w:hint="eastAsia" w:cs="宋体"/>
                <w:color w:val="auto"/>
                <w:sz w:val="21"/>
                <w:szCs w:val="21"/>
              </w:rPr>
            </w:pPr>
            <w:r>
              <w:rPr>
                <w:rFonts w:hint="eastAsia" w:asciiTheme="minorEastAsia" w:hAnsiTheme="minorEastAsia" w:eastAsiaTheme="minorEastAsia" w:cstheme="minorEastAsia"/>
                <w:color w:val="auto"/>
                <w:sz w:val="21"/>
                <w:szCs w:val="21"/>
                <w:lang w:val="en-US" w:eastAsia="zh-CN"/>
              </w:rPr>
              <w:t>环境因素/危险源识别评价</w:t>
            </w:r>
          </w:p>
        </w:tc>
        <w:tc>
          <w:tcPr>
            <w:tcW w:w="960" w:type="dxa"/>
            <w:vAlign w:val="top"/>
          </w:tcPr>
          <w:p>
            <w:pPr>
              <w:pStyle w:val="7"/>
              <w:rPr>
                <w:rFonts w:hint="eastAsia"/>
                <w:color w:val="auto"/>
                <w:sz w:val="21"/>
                <w:szCs w:val="21"/>
              </w:rPr>
            </w:pPr>
            <w:r>
              <w:rPr>
                <w:rFonts w:hint="eastAsia" w:asciiTheme="minorEastAsia" w:hAnsiTheme="minorEastAsia" w:eastAsiaTheme="minorEastAsia" w:cstheme="minorEastAsia"/>
                <w:color w:val="auto"/>
                <w:sz w:val="21"/>
                <w:szCs w:val="21"/>
                <w:lang w:val="en-US" w:eastAsia="zh-CN"/>
              </w:rPr>
              <w:t>EO/6.1.2</w:t>
            </w:r>
          </w:p>
        </w:tc>
        <w:tc>
          <w:tcPr>
            <w:tcW w:w="10760"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提供《环境因素评价表》，包括固废废弃、汽车尾气排放、意外火灾等。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可以提供《重要环境因素清单》，其中重要环境因素：潜在火灾、固废、汽车尾气、噪声。</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提供了职业健康安全危险源识别与评价表，涉及本部门的危险源包括：潜在火灾，车辆自燃、交通危险等。</w:t>
            </w:r>
          </w:p>
          <w:p>
            <w:pPr>
              <w:spacing w:line="360" w:lineRule="auto"/>
              <w:ind w:firstLine="420" w:firstLineChars="200"/>
              <w:rPr>
                <w:rFonts w:hint="eastAsia" w:cs="宋体"/>
                <w:color w:val="auto"/>
                <w:sz w:val="21"/>
                <w:szCs w:val="21"/>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用LEC法对识别的危险源进行评价，本部门不可接受风险：火灾、车辆自燃、新冠病毒，评价基本准确。</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widowControl/>
              <w:suppressLineNumbers w:val="0"/>
              <w:jc w:val="left"/>
              <w:rPr>
                <w:rFonts w:hint="eastAsia" w:cs="宋体"/>
                <w:color w:val="auto"/>
                <w:sz w:val="21"/>
                <w:szCs w:val="21"/>
              </w:rPr>
            </w:pPr>
            <w:r>
              <w:rPr>
                <w:rFonts w:hint="eastAsia" w:asciiTheme="minorEastAsia" w:hAnsiTheme="minorEastAsia" w:eastAsiaTheme="minorEastAsia" w:cstheme="minorEastAsia"/>
                <w:sz w:val="21"/>
                <w:szCs w:val="21"/>
              </w:rPr>
              <w:t>基础设施</w:t>
            </w:r>
          </w:p>
        </w:tc>
        <w:tc>
          <w:tcPr>
            <w:tcW w:w="960" w:type="dxa"/>
            <w:vAlign w:val="top"/>
          </w:tcPr>
          <w:p>
            <w:pPr>
              <w:pStyle w:val="7"/>
              <w:rPr>
                <w:rFonts w:hint="eastAsia"/>
                <w:color w:val="auto"/>
                <w:sz w:val="21"/>
                <w:szCs w:val="21"/>
              </w:rPr>
            </w:pPr>
            <w:r>
              <w:rPr>
                <w:rFonts w:hint="eastAsia" w:asciiTheme="minorEastAsia" w:hAnsiTheme="minorEastAsia" w:eastAsiaTheme="minorEastAsia" w:cstheme="minorEastAsia"/>
                <w:bCs/>
                <w:color w:val="auto"/>
                <w:sz w:val="21"/>
                <w:szCs w:val="21"/>
              </w:rPr>
              <w:t>7.1.3</w:t>
            </w:r>
          </w:p>
        </w:tc>
        <w:tc>
          <w:tcPr>
            <w:tcW w:w="10760" w:type="dxa"/>
            <w:vAlign w:val="top"/>
          </w:tcPr>
          <w:p>
            <w:pPr>
              <w:spacing w:line="360" w:lineRule="auto"/>
              <w:ind w:firstLine="420" w:firstLineChars="200"/>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公司的基础设施有：智能道闸、智能系统、监控系统、洗地机、照明设备设施；还有办公设备如：电脑、打印机、传真机等。</w:t>
            </w:r>
          </w:p>
          <w:p>
            <w:pPr>
              <w:pStyle w:val="7"/>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提供《设备维护记录》，2019年3月19日 对上述设备设施进行了维护和维修。</w:t>
            </w:r>
          </w:p>
          <w:p>
            <w:pPr>
              <w:ind w:right="-622" w:rightChars="0"/>
              <w:rPr>
                <w:rFonts w:hint="eastAsia" w:cs="宋体"/>
                <w:color w:val="auto"/>
                <w:sz w:val="21"/>
                <w:szCs w:val="21"/>
              </w:rPr>
            </w:pPr>
            <w:r>
              <w:rPr>
                <w:rFonts w:hint="eastAsia" w:asciiTheme="minorEastAsia" w:hAnsiTheme="minorEastAsia" w:eastAsiaTheme="minorEastAsia" w:cstheme="minorEastAsia"/>
                <w:bCs w:val="0"/>
                <w:spacing w:val="0"/>
                <w:kern w:val="2"/>
                <w:sz w:val="21"/>
                <w:szCs w:val="21"/>
                <w:lang w:val="en-US" w:eastAsia="zh-CN" w:bidi="ar-SA"/>
              </w:rPr>
              <w:t>编制：方科    日期：2019年3月19日     批准：佘丽花    日期：2019年3月19日</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widowControl/>
              <w:suppressLineNumbers w:val="0"/>
              <w:jc w:val="left"/>
              <w:rPr>
                <w:rFonts w:hint="eastAsia" w:cs="宋体"/>
                <w:color w:val="auto"/>
                <w:sz w:val="21"/>
                <w:szCs w:val="21"/>
              </w:rPr>
            </w:pPr>
            <w:r>
              <w:rPr>
                <w:rFonts w:hint="eastAsia" w:asciiTheme="minorEastAsia" w:hAnsiTheme="minorEastAsia" w:eastAsiaTheme="minorEastAsia" w:cstheme="minorEastAsia"/>
                <w:sz w:val="21"/>
                <w:szCs w:val="21"/>
              </w:rPr>
              <w:t>过程运行环境</w:t>
            </w:r>
          </w:p>
        </w:tc>
        <w:tc>
          <w:tcPr>
            <w:tcW w:w="960" w:type="dxa"/>
            <w:vAlign w:val="top"/>
          </w:tcPr>
          <w:p>
            <w:pPr>
              <w:pStyle w:val="7"/>
              <w:rPr>
                <w:rFonts w:hint="eastAsia"/>
                <w:color w:val="auto"/>
                <w:sz w:val="21"/>
                <w:szCs w:val="21"/>
              </w:rPr>
            </w:pPr>
            <w:r>
              <w:rPr>
                <w:rFonts w:hint="eastAsia" w:asciiTheme="minorEastAsia" w:hAnsiTheme="minorEastAsia" w:eastAsiaTheme="minorEastAsia" w:cstheme="minorEastAsia"/>
                <w:bCs/>
                <w:color w:val="auto"/>
                <w:sz w:val="21"/>
                <w:szCs w:val="21"/>
              </w:rPr>
              <w:t>7.1.4</w:t>
            </w:r>
          </w:p>
        </w:tc>
        <w:tc>
          <w:tcPr>
            <w:tcW w:w="10760" w:type="dxa"/>
            <w:vAlign w:val="center"/>
          </w:tcPr>
          <w:p>
            <w:pPr>
              <w:pStyle w:val="12"/>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负责的停车场</w:t>
            </w:r>
            <w:r>
              <w:rPr>
                <w:rFonts w:hint="eastAsia" w:asciiTheme="minorEastAsia" w:hAnsiTheme="minorEastAsia" w:eastAsiaTheme="minorEastAsia" w:cstheme="minorEastAsia"/>
                <w:sz w:val="21"/>
                <w:szCs w:val="21"/>
              </w:rPr>
              <w:t>内部较宽敞，</w:t>
            </w:r>
            <w:r>
              <w:rPr>
                <w:rFonts w:hint="eastAsia" w:asciiTheme="minorEastAsia" w:hAnsiTheme="minorEastAsia" w:eastAsiaTheme="minorEastAsia" w:cstheme="minorEastAsia"/>
                <w:sz w:val="21"/>
                <w:szCs w:val="21"/>
                <w:lang w:val="en-US" w:eastAsia="zh-CN"/>
              </w:rPr>
              <w:t>车辆</w:t>
            </w:r>
            <w:r>
              <w:rPr>
                <w:rFonts w:hint="eastAsia" w:asciiTheme="minorEastAsia" w:hAnsiTheme="minorEastAsia" w:eastAsiaTheme="minorEastAsia" w:cstheme="minorEastAsia"/>
                <w:sz w:val="21"/>
                <w:szCs w:val="21"/>
              </w:rPr>
              <w:t>有序摆放，间距合理，采光及通风效果较好。</w:t>
            </w:r>
          </w:p>
          <w:p>
            <w:pPr>
              <w:pStyle w:val="12"/>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停车场</w:t>
            </w:r>
            <w:r>
              <w:rPr>
                <w:rFonts w:hint="eastAsia" w:asciiTheme="minorEastAsia" w:hAnsiTheme="minorEastAsia" w:eastAsiaTheme="minorEastAsia" w:cstheme="minorEastAsia"/>
                <w:sz w:val="21"/>
                <w:szCs w:val="21"/>
              </w:rPr>
              <w:t>内</w:t>
            </w:r>
            <w:r>
              <w:rPr>
                <w:rFonts w:hint="eastAsia" w:asciiTheme="minorEastAsia" w:hAnsiTheme="minorEastAsia" w:eastAsiaTheme="minorEastAsia" w:cstheme="minorEastAsia"/>
                <w:sz w:val="21"/>
                <w:szCs w:val="21"/>
                <w:lang w:val="en-US" w:eastAsia="zh-CN"/>
              </w:rPr>
              <w:t>明显处</w:t>
            </w:r>
            <w:r>
              <w:rPr>
                <w:rFonts w:hint="eastAsia" w:asciiTheme="minorEastAsia" w:hAnsiTheme="minorEastAsia" w:eastAsiaTheme="minorEastAsia" w:cstheme="minorEastAsia"/>
                <w:sz w:val="21"/>
                <w:szCs w:val="21"/>
              </w:rPr>
              <w:t>配置了灭火器及消防栓，灭火器在有效期内，消防栓内附件齐全。</w:t>
            </w:r>
          </w:p>
          <w:p>
            <w:pPr>
              <w:pStyle w:val="12"/>
              <w:spacing w:line="360" w:lineRule="exact"/>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停车场内</w:t>
            </w:r>
            <w:r>
              <w:rPr>
                <w:rFonts w:hint="eastAsia" w:asciiTheme="minorEastAsia" w:hAnsiTheme="minorEastAsia" w:eastAsiaTheme="minorEastAsia" w:cstheme="minorEastAsia"/>
                <w:sz w:val="21"/>
                <w:szCs w:val="21"/>
              </w:rPr>
              <w:t>较干净整洁，</w:t>
            </w:r>
            <w:r>
              <w:rPr>
                <w:rFonts w:hint="eastAsia" w:asciiTheme="minorEastAsia" w:hAnsiTheme="minorEastAsia" w:eastAsiaTheme="minorEastAsia" w:cstheme="minorEastAsia"/>
                <w:sz w:val="21"/>
                <w:szCs w:val="21"/>
                <w:lang w:val="en-US" w:eastAsia="zh-CN"/>
              </w:rPr>
              <w:t>车辆停放整齐</w:t>
            </w:r>
            <w:r>
              <w:rPr>
                <w:rFonts w:hint="eastAsia" w:asciiTheme="minorEastAsia" w:hAnsiTheme="minorEastAsia" w:eastAsiaTheme="minorEastAsia" w:cstheme="minorEastAsia"/>
                <w:sz w:val="21"/>
                <w:szCs w:val="21"/>
              </w:rPr>
              <w:t>。</w:t>
            </w:r>
          </w:p>
          <w:p>
            <w:pPr>
              <w:spacing w:line="360" w:lineRule="exact"/>
              <w:contextualSpacing/>
              <w:jc w:val="left"/>
              <w:rPr>
                <w:rFonts w:hint="eastAsia" w:cs="宋体"/>
                <w:color w:val="auto"/>
                <w:sz w:val="21"/>
                <w:szCs w:val="21"/>
              </w:rPr>
            </w:pPr>
            <w:r>
              <w:rPr>
                <w:rFonts w:hint="eastAsia" w:asciiTheme="minorEastAsia" w:hAnsiTheme="minorEastAsia" w:eastAsiaTheme="minorEastAsia" w:cstheme="minorEastAsia"/>
                <w:sz w:val="21"/>
                <w:szCs w:val="21"/>
              </w:rPr>
              <w:t>企业在面对员工心理因素方面的工作主要采取有一些措施，在招聘人员入职会进行多次多方面的考核评价新员工的经验经历，工作态度社会价值观等方面的评价。企业内部建有工作群，上下之间及跨部门业务都可以通过电话通讯等方式沟通，所有员工的沟通交流可以公开透明，企业每周工作5日8小时制，严格格按照劳动法规执行相关规定及待遇。企业过程运行环境基本符合要求。</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160" w:type="dxa"/>
            <w:vAlign w:val="top"/>
          </w:tcPr>
          <w:p>
            <w:pPr>
              <w:keepNext w:val="0"/>
              <w:keepLines w:val="0"/>
              <w:widowControl/>
              <w:suppressLineNumbers w:val="0"/>
              <w:jc w:val="left"/>
              <w:rPr>
                <w:rFonts w:hint="eastAsia" w:cs="宋体"/>
                <w:color w:val="auto"/>
                <w:sz w:val="21"/>
                <w:szCs w:val="21"/>
              </w:rPr>
            </w:pPr>
            <w:r>
              <w:rPr>
                <w:rFonts w:hint="eastAsia" w:asciiTheme="minorEastAsia" w:hAnsiTheme="minorEastAsia" w:eastAsiaTheme="minorEastAsia" w:cstheme="minorEastAsia"/>
                <w:sz w:val="21"/>
                <w:szCs w:val="21"/>
              </w:rPr>
              <w:t>监视和测量资源</w:t>
            </w:r>
          </w:p>
        </w:tc>
        <w:tc>
          <w:tcPr>
            <w:tcW w:w="960" w:type="dxa"/>
            <w:vAlign w:val="top"/>
          </w:tcPr>
          <w:p>
            <w:pPr>
              <w:pStyle w:val="7"/>
              <w:rPr>
                <w:rFonts w:hint="eastAsia"/>
                <w:color w:val="auto"/>
                <w:sz w:val="21"/>
                <w:szCs w:val="21"/>
              </w:rPr>
            </w:pPr>
            <w:r>
              <w:rPr>
                <w:rFonts w:hint="eastAsia" w:asciiTheme="minorEastAsia" w:hAnsiTheme="minorEastAsia" w:eastAsiaTheme="minorEastAsia" w:cstheme="minorEastAsia"/>
                <w:bCs/>
                <w:color w:val="auto"/>
                <w:sz w:val="21"/>
                <w:szCs w:val="21"/>
                <w:lang w:val="en-US" w:eastAsia="zh-CN"/>
              </w:rPr>
              <w:t>7.1.5</w:t>
            </w:r>
          </w:p>
        </w:tc>
        <w:tc>
          <w:tcPr>
            <w:tcW w:w="10760" w:type="dxa"/>
            <w:vAlign w:val="top"/>
          </w:tcPr>
          <w:p>
            <w:pPr>
              <w:spacing w:line="360" w:lineRule="auto"/>
              <w:ind w:firstLine="420" w:firstLineChars="200"/>
              <w:rPr>
                <w:rFonts w:hint="eastAsia" w:cs="宋体"/>
                <w:color w:val="auto"/>
                <w:sz w:val="21"/>
                <w:szCs w:val="21"/>
              </w:rPr>
            </w:pPr>
            <w:r>
              <w:rPr>
                <w:rFonts w:hint="eastAsia" w:asciiTheme="minorEastAsia" w:hAnsiTheme="minorEastAsia" w:eastAsiaTheme="minorEastAsia" w:cstheme="minorEastAsia"/>
                <w:sz w:val="21"/>
                <w:szCs w:val="21"/>
                <w:lang w:val="en-US" w:eastAsia="zh-CN"/>
              </w:rPr>
              <w:t>公司的监视和测量设备是视频监控系统，视频监控系统不存在死角、清晰、贮存系统是否有良好，可以随时调取以前的监控记录，监控设备及时升级更新，维护保养。</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产品和服务要求</w:t>
            </w:r>
          </w:p>
        </w:tc>
        <w:tc>
          <w:tcPr>
            <w:tcW w:w="960" w:type="dxa"/>
            <w:vAlign w:val="top"/>
          </w:tcPr>
          <w:p>
            <w:pPr>
              <w:pStyle w:val="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10760"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color w:val="auto"/>
                <w:lang w:val="en-US" w:eastAsia="zh-CN"/>
              </w:rPr>
              <w:t>市场及公关部（含库房）负责产品和服务要求确定的工作，根据与顾客签订书面合同进行运行，与停车场的有关要求通过管理合同的确定。查《销售合同台账》，抽查6份合同。</w:t>
            </w:r>
            <w:r>
              <w:rPr>
                <w:rFonts w:hint="eastAsia" w:asciiTheme="minorEastAsia" w:hAnsiTheme="minorEastAsia" w:eastAsiaTheme="minorEastAsia" w:cstheme="minorEastAsia"/>
                <w:color w:val="auto"/>
                <w:sz w:val="21"/>
                <w:szCs w:val="21"/>
              </w:rPr>
              <w:t>合同均规定了技术服务内容、双方的权利义务、服务交付</w:t>
            </w:r>
            <w:r>
              <w:rPr>
                <w:rFonts w:hint="eastAsia" w:asciiTheme="minorEastAsia" w:hAnsiTheme="minorEastAsia" w:eastAsiaTheme="minorEastAsia" w:cstheme="minorEastAsia"/>
                <w:color w:val="auto"/>
                <w:kern w:val="0"/>
                <w:sz w:val="21"/>
                <w:szCs w:val="21"/>
              </w:rPr>
              <w:t>方式等内容</w:t>
            </w:r>
            <w:r>
              <w:rPr>
                <w:rFonts w:hint="eastAsia" w:asciiTheme="minorEastAsia" w:hAnsiTheme="minorEastAsia" w:eastAsiaTheme="minorEastAsia" w:cstheme="minorEastAsia"/>
                <w:color w:val="auto"/>
                <w:sz w:val="21"/>
                <w:szCs w:val="21"/>
              </w:rPr>
              <w:t>、交付期等内容</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顾客要求明确 。</w:t>
            </w:r>
            <w:r>
              <w:rPr>
                <w:rFonts w:hint="eastAsia" w:asciiTheme="minorEastAsia" w:hAnsiTheme="minorEastAsia" w:eastAsiaTheme="minorEastAsia" w:cstheme="minorEastAsia"/>
                <w:color w:val="auto"/>
                <w:kern w:val="0"/>
                <w:sz w:val="21"/>
                <w:szCs w:val="21"/>
              </w:rPr>
              <w:t>均有双方法人签字和加盖的公章</w:t>
            </w:r>
          </w:p>
          <w:p>
            <w:pPr>
              <w:pStyle w:val="7"/>
              <w:rPr>
                <w:rFonts w:hint="eastAsia" w:cs="宋体"/>
                <w:color w:val="auto"/>
                <w:sz w:val="21"/>
                <w:szCs w:val="21"/>
              </w:rPr>
            </w:pPr>
            <w:r>
              <w:rPr>
                <w:rFonts w:hint="eastAsia" w:asciiTheme="minorEastAsia" w:hAnsiTheme="minorEastAsia" w:eastAsiaTheme="minorEastAsia" w:cstheme="minorEastAsia"/>
                <w:color w:val="auto"/>
                <w:sz w:val="21"/>
                <w:szCs w:val="21"/>
              </w:rPr>
              <w:t>见以上《合同评审</w:t>
            </w:r>
            <w:r>
              <w:rPr>
                <w:rFonts w:hint="eastAsia" w:asciiTheme="minorEastAsia" w:hAnsiTheme="minorEastAsia" w:eastAsiaTheme="minorEastAsia" w:cstheme="minorEastAsia"/>
                <w:color w:val="auto"/>
                <w:sz w:val="21"/>
                <w:szCs w:val="21"/>
                <w:lang w:val="en-US" w:eastAsia="zh-CN"/>
              </w:rPr>
              <w:t>登记</w:t>
            </w:r>
            <w:r>
              <w:rPr>
                <w:rFonts w:hint="eastAsia" w:asciiTheme="minorEastAsia" w:hAnsiTheme="minorEastAsia" w:eastAsiaTheme="minorEastAsia" w:cstheme="minorEastAsia"/>
                <w:color w:val="auto"/>
                <w:sz w:val="21"/>
                <w:szCs w:val="21"/>
              </w:rPr>
              <w:t>表》，评审内容包括  对服务交付方式、交付能力、质量要求等进行了评审，认为可以满足。有总经理签字。同意签订合同。</w:t>
            </w:r>
          </w:p>
        </w:tc>
        <w:tc>
          <w:tcPr>
            <w:tcW w:w="82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widowControl/>
              <w:suppressLineNumbers w:val="0"/>
              <w:jc w:val="left"/>
              <w:rPr>
                <w:rFonts w:hint="eastAsia" w:cs="宋体"/>
                <w:color w:val="auto"/>
                <w:sz w:val="21"/>
                <w:szCs w:val="21"/>
              </w:rPr>
            </w:pPr>
            <w:r>
              <w:rPr>
                <w:rFonts w:hint="eastAsia" w:asciiTheme="minorEastAsia" w:hAnsiTheme="minorEastAsia" w:eastAsiaTheme="minorEastAsia" w:cstheme="minorEastAsia"/>
                <w:sz w:val="21"/>
                <w:szCs w:val="21"/>
                <w:lang w:val="en-US" w:eastAsia="zh-CN"/>
              </w:rPr>
              <w:t>停车场服务的控制</w:t>
            </w:r>
          </w:p>
        </w:tc>
        <w:tc>
          <w:tcPr>
            <w:tcW w:w="960" w:type="dxa"/>
            <w:vAlign w:val="top"/>
          </w:tcPr>
          <w:p>
            <w:pPr>
              <w:keepNext w:val="0"/>
              <w:keepLines w:val="0"/>
              <w:widowControl/>
              <w:suppressLineNumbers w:val="0"/>
              <w:jc w:val="left"/>
              <w:rPr>
                <w:rFonts w:hint="default"/>
                <w:color w:val="auto"/>
                <w:sz w:val="21"/>
                <w:szCs w:val="21"/>
                <w:lang w:val="en-US"/>
              </w:rPr>
            </w:pPr>
            <w:r>
              <w:rPr>
                <w:rFonts w:hint="eastAsia" w:asciiTheme="minorEastAsia" w:hAnsiTheme="minorEastAsia" w:eastAsiaTheme="minorEastAsia" w:cstheme="minorEastAsia"/>
                <w:sz w:val="21"/>
                <w:szCs w:val="21"/>
                <w:lang w:val="en-US" w:eastAsia="zh-CN"/>
              </w:rPr>
              <w:t>Q8.5.1</w:t>
            </w:r>
          </w:p>
        </w:tc>
        <w:tc>
          <w:tcPr>
            <w:tcW w:w="10760" w:type="dxa"/>
            <w:vAlign w:val="top"/>
          </w:tcPr>
          <w:p>
            <w:pPr>
              <w:spacing w:line="16"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公司建立了24h停车场客服中心管理标准、车辆进出场巡视安全操作管理规范、车辆规范管理制度、交接班管理制度等，对停车场进行日常管理和监控。</w:t>
            </w:r>
          </w:p>
          <w:p>
            <w:pPr>
              <w:spacing w:line="16"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识别了“停车服务过程”为特殊过程，并进行了确认：确认表如下：</w:t>
            </w:r>
          </w:p>
          <w:p>
            <w:pPr>
              <w:spacing w:line="16" w:lineRule="atLeast"/>
              <w:jc w:val="left"/>
              <w:rPr>
                <w:rFonts w:hint="eastAsia" w:asciiTheme="minorEastAsia" w:hAnsiTheme="minorEastAsia" w:eastAsiaTheme="minorEastAsia" w:cstheme="minorEastAsia"/>
                <w:sz w:val="21"/>
                <w:szCs w:val="21"/>
                <w:lang w:val="en-US" w:eastAsia="zh-CN"/>
              </w:rPr>
            </w:pPr>
          </w:p>
          <w:p>
            <w:pPr>
              <w:spacing w:line="16" w:lineRule="atLeas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岗位有交接班记录：</w:t>
            </w:r>
          </w:p>
          <w:p>
            <w:pPr>
              <w:pStyle w:val="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pStyle w:val="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建立“捡拾物品管理规定：</w:t>
            </w:r>
          </w:p>
          <w:p>
            <w:pPr>
              <w:pStyle w:val="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有“拾遗登记表”：</w:t>
            </w:r>
          </w:p>
          <w:p>
            <w:pPr>
              <w:numPr>
                <w:ilvl w:val="0"/>
                <w:numId w:val="0"/>
              </w:numPr>
              <w:ind w:leftChars="0"/>
              <w:rPr>
                <w:rFonts w:hint="eastAsia" w:asciiTheme="minorEastAsia" w:hAnsiTheme="minorEastAsia" w:eastAsiaTheme="minorEastAsia" w:cstheme="minorEastAsia"/>
                <w:color w:val="4D4F53"/>
                <w:spacing w:val="15"/>
                <w:sz w:val="21"/>
                <w:szCs w:val="21"/>
                <w:shd w:val="clear" w:color="auto" w:fill="FFFFFF"/>
              </w:rPr>
            </w:pPr>
            <w:r>
              <w:rPr>
                <w:rFonts w:hint="eastAsia" w:asciiTheme="minorEastAsia" w:hAnsiTheme="minorEastAsia" w:eastAsiaTheme="minorEastAsia" w:cstheme="minorEastAsia"/>
                <w:sz w:val="21"/>
                <w:szCs w:val="21"/>
                <w:lang w:val="en-US" w:eastAsia="zh-CN"/>
              </w:rPr>
              <w:t>提供“纠纷应急处理流程”：</w:t>
            </w:r>
          </w:p>
          <w:p>
            <w:pPr>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提供“停车场收费流程以及收费单”：</w:t>
            </w:r>
          </w:p>
          <w:p>
            <w:pPr>
              <w:spacing w:before="120" w:line="160" w:lineRule="exact"/>
              <w:jc w:val="left"/>
              <w:rPr>
                <w:rFonts w:hint="eastAsia" w:cs="宋体"/>
                <w:color w:val="auto"/>
                <w:sz w:val="21"/>
                <w:szCs w:val="21"/>
              </w:rPr>
            </w:pPr>
          </w:p>
        </w:tc>
        <w:tc>
          <w:tcPr>
            <w:tcW w:w="829" w:type="dxa"/>
          </w:tcPr>
          <w:p>
            <w:pPr>
              <w:rPr>
                <w:sz w:val="21"/>
                <w:szCs w:val="21"/>
              </w:rPr>
            </w:pPr>
          </w:p>
        </w:tc>
      </w:tr>
    </w:tbl>
    <w:p>
      <w:pPr>
        <w:pStyle w:val="4"/>
        <w:rPr>
          <w:rFonts w:hint="eastAsia"/>
          <w:sz w:val="21"/>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148"/>
    <w:multiLevelType w:val="multilevel"/>
    <w:tmpl w:val="0B6C71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C1F852"/>
    <w:multiLevelType w:val="singleLevel"/>
    <w:tmpl w:val="43C1F85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3130EE"/>
    <w:rsid w:val="07E054B4"/>
    <w:rsid w:val="07EF63EC"/>
    <w:rsid w:val="0C4A4BE1"/>
    <w:rsid w:val="0F535804"/>
    <w:rsid w:val="0F5F2CA2"/>
    <w:rsid w:val="12DB5940"/>
    <w:rsid w:val="132011BC"/>
    <w:rsid w:val="15A6299A"/>
    <w:rsid w:val="18EC7036"/>
    <w:rsid w:val="19517451"/>
    <w:rsid w:val="1AB56CF2"/>
    <w:rsid w:val="2090758A"/>
    <w:rsid w:val="22C248E2"/>
    <w:rsid w:val="27D47017"/>
    <w:rsid w:val="28E1001D"/>
    <w:rsid w:val="29287B01"/>
    <w:rsid w:val="29BC0075"/>
    <w:rsid w:val="2A726582"/>
    <w:rsid w:val="2A993974"/>
    <w:rsid w:val="2BCC6C74"/>
    <w:rsid w:val="2E177B63"/>
    <w:rsid w:val="2EA56094"/>
    <w:rsid w:val="30563DE0"/>
    <w:rsid w:val="316B456C"/>
    <w:rsid w:val="32473A4C"/>
    <w:rsid w:val="330B5A81"/>
    <w:rsid w:val="348B159A"/>
    <w:rsid w:val="34CD146B"/>
    <w:rsid w:val="35875204"/>
    <w:rsid w:val="36D01390"/>
    <w:rsid w:val="37F71D8F"/>
    <w:rsid w:val="3E0D73A2"/>
    <w:rsid w:val="3F2F7D42"/>
    <w:rsid w:val="43223ED7"/>
    <w:rsid w:val="46793D72"/>
    <w:rsid w:val="469054FE"/>
    <w:rsid w:val="49464C15"/>
    <w:rsid w:val="4C330D73"/>
    <w:rsid w:val="50513254"/>
    <w:rsid w:val="52D85EA9"/>
    <w:rsid w:val="57C60632"/>
    <w:rsid w:val="5B266AA5"/>
    <w:rsid w:val="5BBF3897"/>
    <w:rsid w:val="5CB555B0"/>
    <w:rsid w:val="5F13006F"/>
    <w:rsid w:val="67EF5E0C"/>
    <w:rsid w:val="6A446D2A"/>
    <w:rsid w:val="6A7B34F7"/>
    <w:rsid w:val="6ED9794E"/>
    <w:rsid w:val="73AB34AD"/>
    <w:rsid w:val="750F2076"/>
    <w:rsid w:val="76C52D96"/>
    <w:rsid w:val="77B0498B"/>
    <w:rsid w:val="7A056DC0"/>
    <w:rsid w:val="7C5037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after="25"/>
    </w:pPr>
    <w:rPr>
      <w:bCs/>
      <w:spacing w:val="10"/>
    </w:rPr>
  </w:style>
  <w:style w:type="character" w:customStyle="1" w:styleId="8">
    <w:name w:val="页眉 Char"/>
    <w:basedOn w:val="6"/>
    <w:link w:val="2"/>
    <w:uiPriority w:val="99"/>
    <w:rPr>
      <w:rFonts w:ascii="Times New Roman" w:hAnsi="Times New Roman" w:eastAsia="宋体" w:cs="Times New Roman"/>
      <w:sz w:val="18"/>
      <w:szCs w:val="18"/>
    </w:rPr>
  </w:style>
  <w:style w:type="character" w:customStyle="1" w:styleId="9">
    <w:name w:val="页脚 Char"/>
    <w:basedOn w:val="6"/>
    <w:link w:val="4"/>
    <w:uiPriority w:val="99"/>
    <w:rPr>
      <w:rFonts w:ascii="Times New Roman" w:hAnsi="Times New Roman" w:eastAsia="宋体" w:cs="Times New Roman"/>
      <w:sz w:val="18"/>
      <w:szCs w:val="18"/>
    </w:rPr>
  </w:style>
  <w:style w:type="character" w:customStyle="1" w:styleId="10">
    <w:name w:val="批注框文本 Char"/>
    <w:basedOn w:val="6"/>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2020-08-19T03:12:26Z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