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李林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2019-N1QMS-1242345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ISC-242345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武瑞红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ISC-JSZJ-136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成都川宜清洁有限公司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35.16.03,39.02.01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ISC-JSZJ-136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2019-N1QMS-3031946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35.16.03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ISC-31946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四川弘毅兴物业管理有限公司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成都市双流区东升街道花月西街65号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610200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成都市双流区东升街道五洞桥北路一段28号墨香1栋9楼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610200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成都市双流区东升街道五洞桥北路一段28号墨香1栋9楼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610200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伍飞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13881762986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彭丽娜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毛彦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2020年08月14日 上午至2020年08月14日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35.16.03;39.02.01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