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山东九商工程机械有限公司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4"/>
          <w:rFonts w:hint="eastAsia" w:ascii="楷体" w:hAnsi="楷体" w:eastAsia="楷体"/>
          <w:b/>
          <w:sz w:val="36"/>
          <w:szCs w:val="36"/>
        </w:rPr>
        <w:t>www.china-isc.org.cn</w:t>
      </w:r>
      <w:r>
        <w:fldChar w:fldCharType="end"/>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1"/>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774"/>
        <w:gridCol w:w="106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457"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1068"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774" w:type="dxa"/>
            <w:vAlign w:val="center"/>
          </w:tcPr>
          <w:p>
            <w:pPr>
              <w:rPr>
                <w:b/>
                <w:color w:val="000000" w:themeColor="text1"/>
                <w:sz w:val="20"/>
                <w:szCs w:val="20"/>
              </w:rPr>
            </w:pPr>
            <w:r>
              <w:rPr>
                <w:rFonts w:hint="eastAsia"/>
                <w:b/>
                <w:color w:val="000000" w:themeColor="text1"/>
                <w:sz w:val="20"/>
                <w:szCs w:val="20"/>
              </w:rPr>
              <w:t>邮箱</w:t>
            </w:r>
          </w:p>
        </w:tc>
        <w:tc>
          <w:tcPr>
            <w:tcW w:w="2709"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102"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709"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02" w:type="dxa"/>
            <w:gridSpan w:val="2"/>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709" w:type="dxa"/>
            <w:gridSpan w:val="2"/>
            <w:vAlign w:val="center"/>
          </w:tcPr>
          <w:p>
            <w:pPr>
              <w:spacing w:line="240" w:lineRule="exact"/>
              <w:jc w:val="center"/>
              <w:rPr>
                <w:b/>
                <w:color w:val="000000" w:themeColor="text1"/>
                <w:sz w:val="20"/>
                <w:szCs w:val="20"/>
              </w:rPr>
            </w:pPr>
            <w:r>
              <w:rPr>
                <w:b/>
                <w:color w:val="000000" w:themeColor="text1"/>
                <w:sz w:val="20"/>
                <w:szCs w:val="20"/>
              </w:rPr>
              <w:t>Q:18.05.02,19.05.01,34.06.00</w:t>
            </w:r>
          </w:p>
          <w:p>
            <w:pPr>
              <w:spacing w:line="240" w:lineRule="exact"/>
              <w:jc w:val="center"/>
              <w:rPr>
                <w:b/>
                <w:color w:val="000000" w:themeColor="text1"/>
                <w:sz w:val="20"/>
                <w:szCs w:val="20"/>
              </w:rPr>
            </w:pPr>
            <w:r>
              <w:rPr>
                <w:b/>
                <w:color w:val="000000" w:themeColor="text1"/>
                <w:sz w:val="20"/>
                <w:szCs w:val="20"/>
              </w:rPr>
              <w:t>E:18.05.02,19.05.01,34.06.00</w:t>
            </w:r>
          </w:p>
          <w:p>
            <w:pPr>
              <w:spacing w:line="240" w:lineRule="exact"/>
              <w:jc w:val="center"/>
              <w:rPr>
                <w:b/>
                <w:color w:val="000000" w:themeColor="text1"/>
                <w:sz w:val="20"/>
                <w:szCs w:val="20"/>
              </w:rPr>
            </w:pPr>
            <w:r>
              <w:rPr>
                <w:b/>
                <w:color w:val="000000" w:themeColor="text1"/>
                <w:sz w:val="20"/>
                <w:szCs w:val="20"/>
              </w:rPr>
              <w:t>O:18.05.02,19.05.01,34.06.00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102" w:type="dxa"/>
            <w:gridSpan w:val="2"/>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709" w:type="dxa"/>
            <w:gridSpan w:val="2"/>
            <w:vAlign w:val="center"/>
          </w:tcPr>
          <w:p>
            <w:pPr>
              <w:spacing w:line="240" w:lineRule="exact"/>
              <w:jc w:val="center"/>
              <w:rPr>
                <w:b/>
                <w:color w:val="000000" w:themeColor="text1"/>
                <w:sz w:val="20"/>
                <w:szCs w:val="20"/>
              </w:rPr>
            </w:pPr>
            <w:r>
              <w:rPr>
                <w:b/>
                <w:color w:val="000000" w:themeColor="text1"/>
                <w:sz w:val="20"/>
                <w:szCs w:val="20"/>
              </w:rPr>
              <w:t>Q:18.05.02,19.05.01</w:t>
            </w:r>
          </w:p>
          <w:p>
            <w:pPr>
              <w:spacing w:line="240" w:lineRule="exact"/>
              <w:jc w:val="center"/>
              <w:rPr>
                <w:b/>
                <w:color w:val="000000" w:themeColor="text1"/>
                <w:sz w:val="20"/>
                <w:szCs w:val="20"/>
              </w:rPr>
            </w:pPr>
            <w:r>
              <w:rPr>
                <w:b/>
                <w:color w:val="000000" w:themeColor="text1"/>
                <w:sz w:val="20"/>
                <w:szCs w:val="20"/>
              </w:rPr>
              <w:t>E:19.05.01</w:t>
            </w:r>
          </w:p>
          <w:p>
            <w:pPr>
              <w:spacing w:line="240" w:lineRule="exact"/>
              <w:jc w:val="center"/>
              <w:rPr>
                <w:b/>
                <w:color w:val="000000" w:themeColor="text1"/>
                <w:sz w:val="20"/>
                <w:szCs w:val="20"/>
              </w:rPr>
            </w:pPr>
            <w:bookmarkStart w:id="24" w:name="_GoBack"/>
            <w:bookmarkEnd w:id="24"/>
            <w:r>
              <w:rPr>
                <w:b/>
                <w:color w:val="000000" w:themeColor="text1"/>
                <w:sz w:val="20"/>
                <w:szCs w:val="20"/>
              </w:rP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02" w:type="dxa"/>
            <w:gridSpan w:val="2"/>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709"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02" w:type="dxa"/>
            <w:gridSpan w:val="2"/>
            <w:vAlign w:val="center"/>
          </w:tcPr>
          <w:p>
            <w:pPr>
              <w:rPr>
                <w:b/>
                <w:color w:val="000000" w:themeColor="text1"/>
                <w:sz w:val="20"/>
                <w:szCs w:val="20"/>
              </w:rPr>
            </w:pPr>
          </w:p>
        </w:tc>
        <w:tc>
          <w:tcPr>
            <w:tcW w:w="2709"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02" w:type="dxa"/>
            <w:gridSpan w:val="2"/>
            <w:vAlign w:val="center"/>
          </w:tcPr>
          <w:p>
            <w:pPr>
              <w:rPr>
                <w:b/>
                <w:color w:val="000000" w:themeColor="text1"/>
                <w:sz w:val="20"/>
                <w:szCs w:val="20"/>
              </w:rPr>
            </w:pPr>
            <w:r>
              <w:rPr>
                <w:rFonts w:hint="eastAsia"/>
                <w:b/>
                <w:color w:val="000000" w:themeColor="text1"/>
                <w:sz w:val="20"/>
                <w:szCs w:val="20"/>
              </w:rPr>
              <w:t>工作单位</w:t>
            </w:r>
          </w:p>
        </w:tc>
        <w:tc>
          <w:tcPr>
            <w:tcW w:w="2709"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02" w:type="dxa"/>
            <w:gridSpan w:val="2"/>
            <w:vAlign w:val="center"/>
          </w:tcPr>
          <w:p>
            <w:pPr>
              <w:rPr>
                <w:b/>
                <w:color w:val="000000" w:themeColor="text1"/>
              </w:rPr>
            </w:pPr>
          </w:p>
        </w:tc>
        <w:tc>
          <w:tcPr>
            <w:tcW w:w="2709"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02" w:type="dxa"/>
            <w:gridSpan w:val="2"/>
            <w:vAlign w:val="center"/>
          </w:tcPr>
          <w:p>
            <w:pPr>
              <w:rPr>
                <w:b/>
                <w:color w:val="000000" w:themeColor="text1"/>
              </w:rPr>
            </w:pPr>
          </w:p>
        </w:tc>
        <w:tc>
          <w:tcPr>
            <w:tcW w:w="2709"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ascii="宋体"/>
          <w:b/>
          <w:color w:val="000000"/>
          <w:sz w:val="21"/>
          <w:szCs w:val="21"/>
          <w:lang w:val="de-DE"/>
        </w:rPr>
      </w:pPr>
      <w:r>
        <w:rPr>
          <w:rFonts w:hint="eastAsia" w:ascii="宋体" w:hAnsi="宋体"/>
          <w:b/>
          <w:color w:val="000000" w:themeColor="text1"/>
          <w:sz w:val="26"/>
          <w:szCs w:val="26"/>
        </w:rPr>
        <w:t>审核准则</w:t>
      </w:r>
      <w:bookmarkStart w:id="4" w:name="Q勾选Add1"/>
    </w:p>
    <w:p>
      <w:pPr>
        <w:pStyle w:val="16"/>
        <w:numPr>
          <w:ilvl w:val="0"/>
          <w:numId w:val="0"/>
        </w:numPr>
        <w:ind w:left="-851" w:leftChars="0"/>
        <w:rPr>
          <w:rFonts w:ascii="宋体" w:hAnsi="宋体"/>
          <w:b/>
          <w:color w:val="000000"/>
          <w:sz w:val="21"/>
          <w:szCs w:val="21"/>
          <w:lang w:val="de-DE"/>
        </w:rPr>
      </w:pPr>
      <w:r>
        <w:rPr>
          <w:rFonts w:hint="eastAsia" w:ascii="宋体" w:hAnsi="宋体"/>
          <w:b/>
          <w:color w:val="000000"/>
          <w:sz w:val="21"/>
          <w:szCs w:val="21"/>
          <w:lang w:val="de-DE"/>
        </w:rPr>
        <w:t>■</w:t>
      </w:r>
      <w:bookmarkEnd w:id="4"/>
      <w:r>
        <w:rPr>
          <w:rFonts w:ascii="宋体" w:hAnsi="宋体"/>
          <w:b/>
          <w:color w:val="000000"/>
          <w:sz w:val="21"/>
          <w:szCs w:val="21"/>
          <w:lang w:val="de-DE"/>
        </w:rPr>
        <w:t xml:space="preserve">GB/T19001-2016    </w:t>
      </w:r>
      <w:bookmarkStart w:id="5" w:name="E勾选Add1"/>
      <w:r>
        <w:rPr>
          <w:rFonts w:hint="eastAsia" w:ascii="宋体" w:hAnsi="宋体"/>
          <w:b/>
          <w:color w:val="000000"/>
          <w:sz w:val="21"/>
          <w:szCs w:val="21"/>
          <w:lang w:val="de-DE"/>
        </w:rPr>
        <w:t>■</w:t>
      </w:r>
      <w:bookmarkEnd w:id="5"/>
      <w:r>
        <w:rPr>
          <w:rFonts w:ascii="宋体" w:hAnsi="宋体"/>
          <w:b/>
          <w:color w:val="000000"/>
          <w:sz w:val="21"/>
          <w:szCs w:val="21"/>
          <w:lang w:val="de-DE"/>
        </w:rPr>
        <w:t>GB/T24001-2016</w:t>
      </w:r>
      <w:bookmarkStart w:id="6" w:name="S勾选Add1"/>
    </w:p>
    <w:p>
      <w:pPr>
        <w:pStyle w:val="16"/>
        <w:numPr>
          <w:ilvl w:val="0"/>
          <w:numId w:val="0"/>
        </w:numPr>
        <w:ind w:left="-851" w:leftChars="0"/>
        <w:rPr>
          <w:rFonts w:ascii="宋体"/>
          <w:b/>
          <w:color w:val="000000"/>
          <w:spacing w:val="-4"/>
          <w:sz w:val="20"/>
          <w:szCs w:val="20"/>
        </w:rPr>
      </w:pPr>
      <w:r>
        <w:rPr>
          <w:rFonts w:hint="eastAsia" w:ascii="宋体" w:hAnsi="宋体"/>
          <w:b/>
          <w:color w:val="000000"/>
          <w:sz w:val="21"/>
          <w:szCs w:val="21"/>
          <w:lang w:val="de-DE"/>
        </w:rPr>
        <w:t>■</w:t>
      </w:r>
      <w:bookmarkEnd w:id="6"/>
      <w:r>
        <w:rPr>
          <w:rFonts w:hint="eastAsia" w:ascii="宋体" w:hAnsi="宋体"/>
          <w:b/>
          <w:color w:val="000000"/>
          <w:sz w:val="21"/>
          <w:szCs w:val="21"/>
          <w:lang w:val="de-DE"/>
        </w:rPr>
        <w:t xml:space="preserve">GB/T45001-2020 </w:t>
      </w:r>
      <w:r>
        <w:rPr>
          <w:rFonts w:ascii="宋体" w:hAnsi="宋体"/>
          <w:b/>
          <w:color w:val="000000"/>
          <w:sz w:val="21"/>
          <w:szCs w:val="21"/>
          <w:lang w:val="de-DE"/>
        </w:rPr>
        <w:t xml:space="preserve"> </w:t>
      </w:r>
      <w:r>
        <w:rPr>
          <w:rFonts w:hint="eastAsia" w:ascii="宋体" w:hAnsi="宋体"/>
          <w:b/>
          <w:color w:val="000000"/>
          <w:sz w:val="21"/>
          <w:szCs w:val="21"/>
          <w:lang w:eastAsia="zh-CN"/>
        </w:rPr>
        <w:t>☑</w:t>
      </w:r>
      <w:r>
        <w:rPr>
          <w:rFonts w:hint="eastAsia" w:ascii="宋体" w:hAnsi="宋体"/>
          <w:b/>
          <w:color w:val="000000"/>
          <w:spacing w:val="-4"/>
          <w:sz w:val="21"/>
          <w:szCs w:val="21"/>
        </w:rPr>
        <w:t>适用的法律、法规、标准</w:t>
      </w:r>
      <w:r>
        <w:rPr>
          <w:rFonts w:hint="eastAsia" w:ascii="宋体" w:hAnsi="宋体"/>
          <w:b/>
          <w:color w:val="000000"/>
          <w:spacing w:val="-4"/>
          <w:sz w:val="21"/>
          <w:szCs w:val="21"/>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6"/>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7" w:name="组织名称Add1"/>
            <w:r>
              <w:rPr>
                <w:rFonts w:ascii="宋体" w:hAnsi="宋体"/>
                <w:b/>
                <w:color w:val="000000" w:themeColor="text1"/>
                <w:sz w:val="20"/>
                <w:szCs w:val="20"/>
              </w:rPr>
              <w:t>山东九商工程机械有限公司</w:t>
            </w:r>
            <w:bookmarkEnd w:id="7"/>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8" w:name="企业人数"/>
            <w:r>
              <w:rPr>
                <w:rFonts w:ascii="宋体" w:hAnsi="宋体"/>
                <w:b/>
                <w:color w:val="000000" w:themeColor="text1"/>
                <w:sz w:val="20"/>
                <w:szCs w:val="20"/>
              </w:rPr>
              <w:t>23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9" w:name="注册地址"/>
            <w:r>
              <w:rPr>
                <w:rFonts w:ascii="宋体" w:hAnsi="宋体"/>
                <w:b/>
                <w:color w:val="000000" w:themeColor="text1"/>
                <w:sz w:val="20"/>
                <w:szCs w:val="20"/>
              </w:rPr>
              <w:t>山东省聊城市高新区华建置地6楼6楼6608室</w:t>
            </w:r>
            <w:bookmarkEnd w:id="9"/>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10" w:name="注册邮编"/>
            <w:r>
              <w:rPr>
                <w:rFonts w:ascii="宋体" w:hAnsi="宋体"/>
                <w:b/>
                <w:color w:val="000000" w:themeColor="text1"/>
                <w:spacing w:val="-20"/>
                <w:sz w:val="20"/>
                <w:szCs w:val="20"/>
              </w:rPr>
              <w:t>252000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1004" w:firstLineChars="500"/>
              <w:rPr>
                <w:rFonts w:ascii="宋体" w:hAnsi="宋体"/>
                <w:b/>
                <w:color w:val="000000" w:themeColor="text1"/>
                <w:sz w:val="20"/>
                <w:szCs w:val="20"/>
              </w:rPr>
            </w:pPr>
            <w:bookmarkStart w:id="11" w:name="办公地址"/>
            <w:r>
              <w:rPr>
                <w:rFonts w:ascii="宋体" w:hAnsi="宋体"/>
                <w:b/>
                <w:color w:val="000000" w:themeColor="text1"/>
                <w:sz w:val="20"/>
                <w:szCs w:val="20"/>
              </w:rPr>
              <w:t>山东省聊城市高新区华建置地6楼6楼6608室</w:t>
            </w:r>
            <w:bookmarkEnd w:id="11"/>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2" w:name="办公邮编"/>
            <w:r>
              <w:rPr>
                <w:rFonts w:ascii="宋体" w:hAnsi="宋体"/>
                <w:b/>
                <w:color w:val="000000" w:themeColor="text1"/>
                <w:sz w:val="20"/>
                <w:szCs w:val="20"/>
              </w:rPr>
              <w:t>252000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3" w:name="联系人"/>
            <w:r>
              <w:rPr>
                <w:rFonts w:ascii="宋体" w:hAnsi="宋体"/>
                <w:b/>
                <w:color w:val="000000" w:themeColor="text1"/>
                <w:sz w:val="20"/>
                <w:szCs w:val="20"/>
              </w:rPr>
              <w:t>蒋洪光</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4" w:name="联系人电话"/>
            <w:r>
              <w:rPr>
                <w:rFonts w:ascii="宋体" w:hAnsi="宋体"/>
                <w:b/>
                <w:color w:val="000000" w:themeColor="text1"/>
                <w:sz w:val="20"/>
                <w:szCs w:val="20"/>
              </w:rPr>
              <w:t>0635-8281369</w:t>
            </w:r>
            <w:bookmarkEnd w:id="14"/>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5" w:name="联系人传真"/>
            <w:r>
              <w:rPr>
                <w:rFonts w:ascii="宋体" w:hAnsi="宋体"/>
                <w:b/>
                <w:color w:val="000000" w:themeColor="text1"/>
                <w:sz w:val="20"/>
                <w:szCs w:val="20"/>
              </w:rPr>
              <w:t>0635-8281369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6" w:name="法人"/>
            <w:r>
              <w:rPr>
                <w:rFonts w:ascii="宋体" w:hAnsi="宋体"/>
                <w:b/>
                <w:color w:val="000000" w:themeColor="text1"/>
                <w:sz w:val="20"/>
                <w:szCs w:val="20"/>
              </w:rPr>
              <w:t>付娜</w:t>
            </w:r>
            <w:bookmarkEnd w:id="16"/>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7" w:name="最高管理者"/>
            <w:bookmarkEnd w:id="17"/>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8" w:name="管理者代表"/>
            <w:r>
              <w:rPr>
                <w:rFonts w:ascii="宋体" w:hAnsi="宋体"/>
                <w:b/>
                <w:color w:val="000000" w:themeColor="text1"/>
                <w:sz w:val="20"/>
                <w:szCs w:val="20"/>
              </w:rPr>
              <w:t>蒋洪光</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9" w:name="审核范围"/>
            <w:r>
              <w:rPr>
                <w:rFonts w:ascii="宋体" w:hAnsi="宋体"/>
                <w:b/>
                <w:color w:val="000000" w:themeColor="text1"/>
                <w:sz w:val="20"/>
                <w:szCs w:val="20"/>
              </w:rPr>
              <w:t>Q：煤矿用钻机、仪器仪表（随钻测量装置）及相关配套钻杆、钻具的研发、组装、销售及技术服务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E：煤矿用钻机、仪器仪表（随钻测量装置）及相关配套钻杆、钻具的研发、组装、销售及技术服务所涉及场所的环境管理活动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O：煤矿用钻机、仪器仪表（随钻测量装置）及相关配套钻杆、钻具的研发、组装、销售及技术服务所涉及场所的职业健康安全管理活动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20" w:name="专业代码"/>
            <w:r>
              <w:rPr>
                <w:rFonts w:ascii="宋体" w:hAnsi="宋体"/>
                <w:b/>
                <w:color w:val="000000" w:themeColor="text1"/>
                <w:sz w:val="20"/>
                <w:szCs w:val="20"/>
              </w:rPr>
              <w:t>Q：18.05.02;19.05.01;34.06.00</w:t>
            </w:r>
          </w:p>
          <w:p>
            <w:pPr>
              <w:spacing w:line="320" w:lineRule="exact"/>
              <w:rPr>
                <w:rFonts w:ascii="宋体" w:hAnsi="宋体"/>
                <w:b/>
                <w:color w:val="000000" w:themeColor="text1"/>
                <w:sz w:val="20"/>
                <w:szCs w:val="20"/>
              </w:rPr>
            </w:pPr>
            <w:r>
              <w:rPr>
                <w:rFonts w:ascii="宋体" w:hAnsi="宋体"/>
                <w:b/>
                <w:color w:val="000000" w:themeColor="text1"/>
                <w:sz w:val="20"/>
                <w:szCs w:val="20"/>
              </w:rPr>
              <w:t>E：18.05.02;19.05.01;34.06.00</w:t>
            </w:r>
          </w:p>
          <w:p>
            <w:pPr>
              <w:spacing w:line="320" w:lineRule="exact"/>
              <w:rPr>
                <w:rFonts w:ascii="宋体" w:hAnsi="宋体"/>
                <w:b/>
                <w:color w:val="000000" w:themeColor="text1"/>
                <w:sz w:val="20"/>
                <w:szCs w:val="20"/>
              </w:rPr>
            </w:pPr>
            <w:r>
              <w:rPr>
                <w:rFonts w:ascii="宋体" w:hAnsi="宋体"/>
                <w:b/>
                <w:color w:val="000000" w:themeColor="text1"/>
                <w:sz w:val="20"/>
                <w:szCs w:val="20"/>
              </w:rPr>
              <w:t>O：18.05.02;19.05.01;34.06.00</w:t>
            </w:r>
            <w:bookmarkEnd w:id="20"/>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1" w:name="体系运行时间"/>
            <w:r>
              <w:rPr>
                <w:rFonts w:ascii="宋体" w:hAnsi="宋体"/>
                <w:b/>
                <w:color w:val="000000" w:themeColor="text1"/>
                <w:sz w:val="20"/>
                <w:szCs w:val="20"/>
              </w:rPr>
              <w:t xml:space="preserve">2020-03-04 </w:t>
            </w:r>
            <w:bookmarkEnd w:id="21"/>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spacing w:line="360" w:lineRule="auto"/>
              <w:jc w:val="left"/>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区域：</w:t>
            </w:r>
            <w:r>
              <w:rPr>
                <w:rFonts w:hint="eastAsia" w:ascii="宋体" w:hAnsi="宋体"/>
                <w:szCs w:val="21"/>
              </w:rPr>
              <w:t xml:space="preserve">山东省聊城市高新区华建置地6#楼6楼6608室 </w:t>
            </w:r>
          </w:p>
          <w:p>
            <w:pPr>
              <w:widowControl/>
              <w:spacing w:line="360" w:lineRule="auto"/>
              <w:jc w:val="left"/>
              <w:rPr>
                <w:rFonts w:hint="eastAsia" w:ascii="宋体" w:hAnsi="宋体"/>
                <w:szCs w:val="21"/>
                <w:lang w:val="de-DE"/>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360" w:lineRule="auto"/>
              <w:rPr>
                <w:rFonts w:ascii="宋体"/>
                <w:b/>
                <w:color w:val="000000"/>
                <w:sz w:val="20"/>
                <w:szCs w:val="20"/>
              </w:rPr>
            </w:pPr>
            <w:r>
              <w:rPr>
                <w:rFonts w:hint="eastAsia" w:ascii="宋体"/>
                <w:b/>
                <w:color w:val="000000"/>
                <w:sz w:val="20"/>
                <w:szCs w:val="20"/>
                <w:lang w:val="en-US" w:eastAsia="zh-CN"/>
              </w:rPr>
              <w:t>生产车间：</w:t>
            </w:r>
            <w:r>
              <w:rPr>
                <w:rFonts w:hint="eastAsia" w:ascii="宋体" w:hAnsi="宋体"/>
                <w:szCs w:val="21"/>
                <w:lang w:val="de-DE"/>
              </w:rPr>
              <w:t xml:space="preserve">山东省聊城市高新技术产业开发区聊牛路北国祥路7号1-幢 </w:t>
            </w:r>
          </w:p>
          <w:p>
            <w:pPr>
              <w:spacing w:line="360" w:lineRule="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spacing w:line="360" w:lineRule="auto"/>
              <w:jc w:val="center"/>
              <w:rPr>
                <w:rFonts w:ascii="宋体" w:hAnsi="宋体"/>
                <w:b/>
                <w:color w:val="000000" w:themeColor="text1"/>
                <w:spacing w:val="-2"/>
                <w:sz w:val="21"/>
                <w:szCs w:val="21"/>
              </w:rPr>
            </w:pPr>
            <w:r>
              <w:rPr>
                <w:rFonts w:hint="eastAsia" w:ascii="宋体" w:hAnsi="宋体"/>
                <w:b/>
                <w:color w:val="000000" w:themeColor="text1"/>
                <w:sz w:val="21"/>
                <w:szCs w:val="21"/>
              </w:rPr>
              <w:t>部门</w:t>
            </w:r>
            <w:r>
              <w:rPr>
                <w:rFonts w:hint="eastAsia" w:ascii="宋体" w:hAnsi="宋体"/>
                <w:b/>
                <w:color w:val="000000" w:themeColor="text1"/>
                <w:spacing w:val="-2"/>
                <w:sz w:val="21"/>
                <w:szCs w:val="21"/>
              </w:rPr>
              <w:t>:</w:t>
            </w:r>
          </w:p>
        </w:tc>
        <w:tc>
          <w:tcPr>
            <w:tcW w:w="7599" w:type="dxa"/>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职能或过程</w:t>
            </w:r>
            <w:r>
              <w:rPr>
                <w:rFonts w:hint="eastAsia" w:ascii="宋体" w:hAnsi="宋体"/>
                <w:b/>
                <w:color w:val="000000" w:themeColor="text1"/>
                <w:spacing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4"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rPr>
              <w:t>高管层（含员工代表）</w:t>
            </w:r>
          </w:p>
        </w:tc>
        <w:tc>
          <w:tcPr>
            <w:tcW w:w="7599"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lang w:val="en-US" w:eastAsia="zh-CN"/>
              </w:rPr>
              <w:t>销售</w:t>
            </w:r>
            <w:r>
              <w:rPr>
                <w:rFonts w:hint="eastAsia" w:ascii="宋体" w:hAnsi="宋体" w:eastAsia="宋体" w:cs="Times New Roman"/>
                <w:b w:val="0"/>
                <w:bCs/>
                <w:color w:val="000000"/>
                <w:sz w:val="20"/>
                <w:szCs w:val="20"/>
              </w:rPr>
              <w:t>部</w:t>
            </w:r>
          </w:p>
        </w:tc>
        <w:tc>
          <w:tcPr>
            <w:tcW w:w="7599"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rPr>
              <w:t>采购过程相关等过程、销售过程、客户满意等及相应质量、环境、职业健康安全管理体系运行过程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rPr>
              <w:t>办公室</w:t>
            </w:r>
          </w:p>
        </w:tc>
        <w:tc>
          <w:tcPr>
            <w:tcW w:w="7599"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rPr>
              <w:t>人力资源管理过程；资源提供与管理过程控制；内外部信息交流过程；内审管理；内外部信息交流等，危险源辨识、风险评价和风险控制措施的确定、应急准备和响应及相应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rPr>
              <w:t>生产技术部</w:t>
            </w:r>
          </w:p>
        </w:tc>
        <w:tc>
          <w:tcPr>
            <w:tcW w:w="7599"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rPr>
              <w:t>基础设施、过程环境、生产实现过程、产品和服务的要求、部门质量、环境、职业健康安全管理体系运行过程控制；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rPr>
              <w:t>质检部</w:t>
            </w:r>
          </w:p>
        </w:tc>
        <w:tc>
          <w:tcPr>
            <w:tcW w:w="7599"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rPr>
              <w:t>不合格品的管控、监视和测量、纠正预防、改进、部门质量、环境、职业健康安全管理体系运行过程控制；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324" w:type="dxa"/>
            <w:vAlign w:val="top"/>
          </w:tcPr>
          <w:p>
            <w:pPr>
              <w:widowControl/>
              <w:spacing w:line="360" w:lineRule="auto"/>
              <w:jc w:val="left"/>
              <w:rPr>
                <w:rFonts w:hint="default" w:ascii="宋体" w:hAnsi="宋体" w:eastAsia="宋体" w:cs="Times New Roman"/>
                <w:b w:val="0"/>
                <w:bCs/>
                <w:color w:val="000000"/>
                <w:sz w:val="20"/>
                <w:szCs w:val="20"/>
                <w:lang w:val="en-US" w:eastAsia="zh-CN"/>
              </w:rPr>
            </w:pPr>
            <w:r>
              <w:rPr>
                <w:rFonts w:hint="eastAsia" w:ascii="宋体" w:hAnsi="宋体" w:eastAsia="宋体" w:cs="Times New Roman"/>
                <w:b w:val="0"/>
                <w:bCs/>
                <w:color w:val="000000"/>
                <w:sz w:val="20"/>
                <w:szCs w:val="20"/>
                <w:lang w:val="en-US" w:eastAsia="zh-CN"/>
              </w:rPr>
              <w:t>研发部</w:t>
            </w:r>
          </w:p>
        </w:tc>
        <w:tc>
          <w:tcPr>
            <w:tcW w:w="7599" w:type="dxa"/>
            <w:vAlign w:val="top"/>
          </w:tcPr>
          <w:p>
            <w:pPr>
              <w:widowControl/>
              <w:spacing w:line="360" w:lineRule="auto"/>
              <w:jc w:val="left"/>
              <w:rPr>
                <w:rFonts w:hint="eastAsia" w:ascii="宋体" w:hAnsi="宋体" w:eastAsia="宋体" w:cs="Times New Roman"/>
                <w:b w:val="0"/>
                <w:bCs/>
                <w:color w:val="000000"/>
                <w:sz w:val="20"/>
                <w:szCs w:val="20"/>
              </w:rPr>
            </w:pPr>
            <w:r>
              <w:rPr>
                <w:rFonts w:hint="eastAsia" w:ascii="宋体" w:hAnsi="宋体" w:eastAsia="宋体" w:cs="Times New Roman"/>
                <w:b w:val="0"/>
                <w:bCs/>
                <w:color w:val="000000"/>
                <w:sz w:val="20"/>
                <w:szCs w:val="20"/>
                <w:lang w:val="en-US" w:eastAsia="zh-CN"/>
              </w:rPr>
              <w:t>产品设计过程，设计评审，技术验证和技术确认；相关技术、工艺文件、技术档案管理，</w:t>
            </w:r>
            <w:r>
              <w:rPr>
                <w:rFonts w:hint="eastAsia" w:ascii="宋体" w:hAnsi="宋体" w:eastAsia="宋体" w:cs="Times New Roman"/>
                <w:b w:val="0"/>
                <w:bCs/>
                <w:color w:val="000000"/>
                <w:sz w:val="20"/>
                <w:szCs w:val="20"/>
              </w:rPr>
              <w:t>环境、职业健康安全管理体系运行过程控制；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生产车间</w:t>
            </w:r>
          </w:p>
        </w:tc>
        <w:tc>
          <w:tcPr>
            <w:tcW w:w="3249"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eastAsia="宋体" w:cs="Times New Roman"/>
                <w:b w:val="0"/>
                <w:bCs/>
                <w:color w:val="000000" w:themeColor="text1"/>
                <w:sz w:val="20"/>
                <w:szCs w:val="20"/>
                <w:lang w:val="en-US" w:eastAsia="zh-CN"/>
              </w:rPr>
              <w:t>产品的生产装配和验收</w:t>
            </w:r>
          </w:p>
        </w:tc>
        <w:tc>
          <w:tcPr>
            <w:tcW w:w="3555" w:type="dxa"/>
          </w:tcPr>
          <w:p>
            <w:pPr>
              <w:jc w:val="center"/>
              <w:rPr>
                <w:rFonts w:ascii="宋体" w:hAnsi="宋体"/>
                <w:b w:val="0"/>
                <w:bCs/>
                <w:color w:val="000000" w:themeColor="text1"/>
                <w:spacing w:val="-20"/>
                <w:sz w:val="20"/>
                <w:szCs w:val="20"/>
                <w:u w:val="single"/>
              </w:rPr>
            </w:pPr>
            <w:r>
              <w:rPr>
                <w:rFonts w:hint="eastAsia" w:ascii="宋体" w:hAnsi="宋体"/>
                <w:b w:val="0"/>
                <w:bCs/>
                <w:szCs w:val="21"/>
                <w:lang w:val="de-DE"/>
              </w:rPr>
              <w:t>山东省聊城市高新技术产业开发区聊牛路北国祥路7号1-幢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2"/>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2" w:name="OLE_LINK1"/>
      <w:r>
        <w:rPr>
          <w:rFonts w:hint="eastAsia"/>
          <w:b/>
          <w:color w:val="000000" w:themeColor="text1"/>
          <w:spacing w:val="-10"/>
          <w:szCs w:val="21"/>
          <w:lang w:val="en-US" w:eastAsia="zh-CN"/>
        </w:rPr>
        <w:t>4</w:t>
      </w:r>
      <w:r>
        <w:rPr>
          <w:rFonts w:hint="eastAsia"/>
          <w:b/>
          <w:color w:val="000000" w:themeColor="text1"/>
          <w:spacing w:val="-10"/>
          <w:szCs w:val="21"/>
        </w:rPr>
        <w:t>日</w:t>
      </w:r>
      <w:bookmarkEnd w:id="2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360" w:lineRule="auto"/>
              <w:rPr>
                <w:b/>
                <w:color w:val="000000" w:themeColor="text1"/>
                <w:sz w:val="20"/>
                <w:szCs w:val="20"/>
              </w:rPr>
            </w:pPr>
            <w:r>
              <w:rPr>
                <w:rFonts w:hint="eastAsia" w:ascii="宋体" w:hAnsi="宋体" w:eastAsia="宋体" w:cs="Times New Roman"/>
                <w:szCs w:val="21"/>
                <w:lang w:val="en-US" w:eastAsia="zh-CN"/>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60" w:lineRule="auto"/>
              <w:jc w:val="lef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36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对这些相关方及其要求的相关信息进行监视和评审，以便于理解和持续满足相关方的需求和期望。本公司考虑以下相关方：--顾客；--最终用户或受益人；股东；---外部供应商；--雇员及其他为组织工作者；--法律法规及监管机关；--地方社区团体；--非政府组织等。</w:t>
            </w:r>
          </w:p>
          <w:p>
            <w:pPr>
              <w:spacing w:line="360" w:lineRule="auto"/>
              <w:rPr>
                <w:b/>
                <w:color w:val="000000" w:themeColor="text1"/>
                <w:sz w:val="20"/>
                <w:szCs w:val="20"/>
              </w:rPr>
            </w:pPr>
            <w:r>
              <w:rPr>
                <w:rFonts w:hint="eastAsia" w:ascii="宋体" w:hAnsi="宋体" w:eastAsia="宋体" w:cs="Times New Roman"/>
                <w:szCs w:val="21"/>
                <w:lang w:val="en-US" w:eastAsia="zh-CN"/>
              </w:rPr>
              <w:t>目前顾客的主要需求期望是：提供顾客满意的生产产品和销售产品和服务。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jc w:val="left"/>
              <w:rPr>
                <w:rFonts w:hint="eastAsia" w:ascii="宋体" w:hAnsi="宋体" w:cs="宋体"/>
                <w:szCs w:val="21"/>
                <w:lang w:eastAsia="zh-CN"/>
              </w:rPr>
            </w:pPr>
            <w:r>
              <w:rPr>
                <w:rFonts w:hint="eastAsia" w:ascii="宋体" w:hAnsi="宋体" w:cs="宋体"/>
                <w:szCs w:val="21"/>
              </w:rPr>
              <w:t>该公司管理方针</w:t>
            </w:r>
            <w:r>
              <w:rPr>
                <w:rFonts w:hint="eastAsia" w:ascii="宋体" w:hAnsi="宋体" w:cs="宋体"/>
                <w:szCs w:val="21"/>
                <w:lang w:eastAsia="zh-CN"/>
              </w:rPr>
              <w:t>：</w:t>
            </w:r>
          </w:p>
          <w:p>
            <w:pPr>
              <w:spacing w:line="360" w:lineRule="auto"/>
              <w:jc w:val="left"/>
              <w:rPr>
                <w:rFonts w:hint="eastAsia" w:ascii="宋体" w:hAnsi="宋体"/>
                <w:szCs w:val="21"/>
                <w:lang w:val="en-US" w:eastAsia="zh-CN"/>
              </w:rPr>
            </w:pPr>
            <w:r>
              <w:rPr>
                <w:rFonts w:hint="eastAsia" w:ascii="宋体" w:hAnsi="宋体"/>
                <w:szCs w:val="21"/>
                <w:lang w:val="en-US" w:eastAsia="zh-CN"/>
              </w:rPr>
              <w:t>守法诚信 以人为本 质量保证 持续改进 落实安全规章制度 强化安全防范措施 人以安为乐 厂以安为兴</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总经理用会议、文件等手段保证管理方针为全体员工理解并落实到工作中。张金明总经理说管理评审时对方针的持续适宜性进行了评审，有评审记录。</w:t>
            </w:r>
          </w:p>
          <w:p>
            <w:pPr>
              <w:spacing w:line="360" w:lineRule="auto"/>
              <w:ind w:left="199" w:leftChars="95"/>
              <w:rPr>
                <w:b/>
                <w:color w:val="000000" w:themeColor="text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60" w:lineRule="auto"/>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spacing w:line="360" w:lineRule="auto"/>
              <w:ind w:leftChars="0"/>
              <w:rPr>
                <w:b/>
                <w:color w:val="000000" w:themeColor="text1"/>
              </w:rPr>
            </w:pPr>
            <w:r>
              <w:rPr>
                <w:rFonts w:hint="eastAsia"/>
                <w:b w:val="0"/>
                <w:bCs/>
                <w:color w:val="000000" w:themeColor="text1"/>
              </w:rPr>
              <w:t>在策划应对风险和机遇的措施时，办公室综合考虑了企业所处的环境、重要环境因素、合规义务，以及面对的风险和机遇，制定了环境目标及管理方案，总经理张金明负责批准。环境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3"/>
              </w:numPr>
              <w:spacing w:line="300" w:lineRule="exact"/>
              <w:rPr>
                <w:rFonts w:hint="eastAsia" w:ascii="宋体" w:hAnsi="宋体"/>
                <w:b/>
                <w:color w:val="000000" w:themeColor="text1"/>
                <w:sz w:val="20"/>
                <w:szCs w:val="20"/>
              </w:rPr>
            </w:pP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val="0"/>
                <w:bCs/>
                <w:color w:val="000000" w:themeColor="text1"/>
                <w:sz w:val="20"/>
                <w:szCs w:val="20"/>
              </w:rPr>
              <w:t>煤矿用钻机、仪器仪表（随钻测量装置）及相关配套钻杆、钻具的研发、组装、销售及技术服务</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sz w:val="21"/>
                <w:szCs w:val="21"/>
                <w:lang w:val="en-US" w:eastAsia="zh-CN"/>
              </w:rPr>
              <w:t>组装、测试、销售</w:t>
            </w:r>
          </w:p>
          <w:p>
            <w:pPr>
              <w:pStyle w:val="2"/>
              <w:keepNext/>
              <w:widowControl w:val="0"/>
              <w:numPr>
                <w:ilvl w:val="0"/>
                <w:numId w:val="0"/>
              </w:numPr>
              <w:jc w:val="both"/>
              <w:outlineLvl w:val="1"/>
            </w:pPr>
            <w:r>
              <w:rPr>
                <w:rFonts w:hint="eastAsia" w:ascii="宋体" w:hAnsi="宋体"/>
                <w:b/>
                <w:color w:val="000000" w:themeColor="text1"/>
                <w:sz w:val="20"/>
                <w:szCs w:val="20"/>
                <w:lang w:eastAsia="zh-CN"/>
              </w:rPr>
              <w:t>需要确认过程：</w:t>
            </w:r>
            <w:r>
              <w:rPr>
                <w:rFonts w:hint="eastAsia" w:ascii="宋体" w:hAnsi="宋体"/>
                <w:b w:val="0"/>
                <w:bCs w:val="0"/>
                <w:color w:val="000000" w:themeColor="text1"/>
                <w:sz w:val="20"/>
                <w:szCs w:val="20"/>
                <w:lang w:val="en-US" w:eastAsia="zh-CN"/>
              </w:rPr>
              <w:t>销售</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lang w:eastAsia="zh-CN"/>
              </w:rPr>
              <w:t>条款</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w:t>
            </w:r>
          </w:p>
          <w:p>
            <w:pPr>
              <w:tabs>
                <w:tab w:val="left" w:pos="540"/>
              </w:tabs>
              <w:spacing w:line="300" w:lineRule="exact"/>
              <w:ind w:left="210" w:hanging="201" w:hangingChars="100"/>
              <w:rPr>
                <w:rFonts w:ascii="宋体" w:hAnsi="宋体"/>
                <w:b/>
                <w:color w:val="000000" w:themeColor="text1"/>
                <w:szCs w:val="21"/>
              </w:rPr>
            </w:pP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60" w:lineRule="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pStyle w:val="4"/>
              <w:spacing w:line="360" w:lineRule="auto"/>
              <w:ind w:firstLine="420" w:firstLineChars="200"/>
              <w:rPr>
                <w:rFonts w:ascii="宋体" w:hAnsi="宋体"/>
                <w:color w:val="000000" w:themeColor="text1"/>
                <w:szCs w:val="21"/>
              </w:rPr>
            </w:pPr>
            <w:r>
              <w:rPr>
                <w:rFonts w:hint="eastAsia" w:ascii="宋体" w:hAnsi="宋体"/>
                <w:color w:val="000000" w:themeColor="text1"/>
                <w:szCs w:val="21"/>
              </w:rPr>
              <w:t>识别了办公、生产、采购、销售、检验等过程的环境因素，动态更新，评价出的重要环境因素包括：固体废弃物排放、火灾隐患等。</w:t>
            </w:r>
          </w:p>
          <w:p>
            <w:pPr>
              <w:pStyle w:val="4"/>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在采购、销售、生产、检验、仓储、运输、交付、日常办公等过程能使用生命周期观点和方法识别环境因素并加以管理。</w:t>
            </w:r>
          </w:p>
          <w:p>
            <w:pPr>
              <w:spacing w:line="360" w:lineRule="auto"/>
              <w:rPr>
                <w:b/>
                <w:color w:val="000000" w:themeColor="text1"/>
                <w:sz w:val="20"/>
                <w:szCs w:val="20"/>
              </w:rPr>
            </w:pPr>
            <w:r>
              <w:rPr>
                <w:rFonts w:hint="eastAsia" w:ascii="宋体" w:hAnsi="宋体"/>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4"/>
              <w:spacing w:line="360" w:lineRule="auto"/>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4"/>
              <w:spacing w:line="360" w:lineRule="auto"/>
              <w:rPr>
                <w:rFonts w:ascii="宋体" w:hAnsi="宋体"/>
                <w:color w:val="000000" w:themeColor="text1"/>
                <w:szCs w:val="21"/>
              </w:rPr>
            </w:pPr>
            <w:r>
              <w:rPr>
                <w:rFonts w:hint="eastAsia" w:ascii="宋体" w:hAnsi="宋体"/>
                <w:color w:val="000000" w:themeColor="text1"/>
                <w:szCs w:val="21"/>
              </w:rPr>
              <w:t>识别了办公、生产、采购、销售、检验等过程的危险源，动态更新，确定的不可接受风险包括：触电、火灾、人身伤害等。</w:t>
            </w:r>
          </w:p>
          <w:p>
            <w:pPr>
              <w:pStyle w:val="4"/>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360" w:lineRule="auto"/>
              <w:rPr>
                <w:b/>
                <w:color w:val="000000" w:themeColor="text1"/>
                <w:sz w:val="20"/>
                <w:szCs w:val="20"/>
              </w:rPr>
            </w:pPr>
            <w:r>
              <w:rPr>
                <w:rFonts w:hint="eastAsia" w:ascii="宋体" w:hAnsi="宋体"/>
                <w:color w:val="000000" w:themeColor="text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b/>
                <w:color w:val="000000"/>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6"/>
              <w:numPr>
                <w:ilvl w:val="0"/>
                <w:numId w:val="4"/>
              </w:numPr>
              <w:tabs>
                <w:tab w:val="left" w:pos="540"/>
              </w:tabs>
              <w:spacing w:line="360" w:lineRule="auto"/>
              <w:ind w:firstLineChars="0"/>
              <w:rPr>
                <w:rFonts w:ascii="宋体"/>
                <w:b/>
                <w:color w:val="000000"/>
                <w:szCs w:val="21"/>
                <w:u w:val="single"/>
              </w:rPr>
            </w:pPr>
            <w:r>
              <w:rPr>
                <w:rFonts w:hint="eastAsia" w:ascii="宋体" w:hAnsi="宋体"/>
                <w:b/>
                <w:color w:val="000000"/>
                <w:szCs w:val="21"/>
              </w:rPr>
              <w:t>获取法律法规项，▇法律法规获取充分，□法律法规获取有遗漏，缺少</w:t>
            </w:r>
          </w:p>
          <w:p>
            <w:pPr>
              <w:pStyle w:val="16"/>
              <w:numPr>
                <w:ilvl w:val="0"/>
                <w:numId w:val="4"/>
              </w:numPr>
              <w:tabs>
                <w:tab w:val="left" w:pos="540"/>
              </w:tabs>
              <w:spacing w:line="360" w:lineRule="auto"/>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360" w:lineRule="auto"/>
              <w:rPr>
                <w:rFonts w:asci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6"/>
              <w:numPr>
                <w:ilvl w:val="0"/>
                <w:numId w:val="4"/>
              </w:numPr>
              <w:tabs>
                <w:tab w:val="left" w:pos="540"/>
              </w:tabs>
              <w:spacing w:line="360" w:lineRule="auto"/>
              <w:ind w:firstLineChars="0"/>
              <w:rPr>
                <w:rFonts w:ascii="宋体"/>
                <w:b/>
                <w:color w:val="000000"/>
                <w:szCs w:val="21"/>
              </w:rPr>
            </w:pPr>
            <w:r>
              <w:rPr>
                <w:rFonts w:hint="eastAsia" w:ascii="宋体" w:hAnsi="宋体"/>
                <w:b/>
                <w:color w:val="000000"/>
                <w:szCs w:val="21"/>
              </w:rPr>
              <w:t>法律法规要求及时更新了：是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质量环境职业健康安全管理目标</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1．产品出厂合格率 100%；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2．顾客满意度≧95%；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3．固体废弃物有效处置率 100%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4．无火灾事故发生；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5．无触电事故发生；</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 6．无人身伤害事故发生   </w:t>
            </w:r>
          </w:p>
          <w:p>
            <w:pPr>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hint="eastAsia" w:ascii="宋体" w:hAnsi="宋体" w:cs="宋体"/>
                <w:kern w:val="0"/>
                <w:szCs w:val="21"/>
              </w:rPr>
            </w:pPr>
            <w:r>
              <w:rPr>
                <w:rFonts w:hint="eastAsia" w:ascii="宋体" w:hAnsi="宋体" w:cs="宋体"/>
                <w:szCs w:val="21"/>
              </w:rPr>
              <w:t>以上目标指标均已完成，管理方案规定了措施方法、完成时间表、责任人、资金等情况。详见各部门记录。</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60" w:lineRule="auto"/>
              <w:ind w:firstLine="420" w:firstLineChars="200"/>
              <w:rPr>
                <w:rFonts w:ascii="宋体" w:cs="宋体"/>
                <w:szCs w:val="21"/>
              </w:rPr>
            </w:pPr>
            <w:r>
              <w:rPr>
                <w:rFonts w:hint="eastAsia" w:ascii="宋体" w:hAnsi="宋体" w:cs="宋体"/>
                <w:szCs w:val="21"/>
              </w:rPr>
              <w:t>受审核方建立的管理体系文件包括：</w:t>
            </w:r>
          </w:p>
          <w:p>
            <w:pPr>
              <w:numPr>
                <w:ilvl w:val="0"/>
                <w:numId w:val="5"/>
              </w:numPr>
              <w:spacing w:line="360" w:lineRule="auto"/>
              <w:rPr>
                <w:rFonts w:ascii="宋体" w:cs="宋体"/>
                <w:szCs w:val="21"/>
              </w:rPr>
            </w:pPr>
            <w:r>
              <w:rPr>
                <w:rFonts w:hint="eastAsia" w:ascii="宋体" w:hAnsi="宋体" w:cs="宋体"/>
                <w:szCs w:val="21"/>
              </w:rPr>
              <w:t>管理手册 A</w:t>
            </w:r>
            <w:r>
              <w:rPr>
                <w:rFonts w:hint="eastAsia" w:ascii="宋体" w:hAnsi="宋体" w:cs="宋体"/>
                <w:szCs w:val="21"/>
                <w:lang w:val="en-US" w:eastAsia="zh-CN"/>
              </w:rPr>
              <w:t>2</w:t>
            </w:r>
            <w:r>
              <w:rPr>
                <w:rFonts w:ascii="宋体" w:hAnsi="宋体" w:cs="宋体"/>
                <w:szCs w:val="21"/>
              </w:rPr>
              <w:t xml:space="preserve"> </w:t>
            </w:r>
            <w:r>
              <w:rPr>
                <w:rFonts w:hint="eastAsia" w:ascii="宋体" w:hAnsi="宋体"/>
                <w:bCs/>
                <w:szCs w:val="21"/>
              </w:rPr>
              <w:t>版</w:t>
            </w:r>
            <w:r>
              <w:rPr>
                <w:rFonts w:hint="eastAsia" w:ascii="宋体" w:hAnsi="宋体" w:cs="宋体"/>
                <w:szCs w:val="21"/>
              </w:rPr>
              <w:t>，发布时间：</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日</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日</w:t>
            </w:r>
            <w:r>
              <w:rPr>
                <w:rFonts w:ascii="宋体" w:hAnsi="宋体" w:cs="宋体"/>
                <w:szCs w:val="21"/>
              </w:rPr>
              <w:t xml:space="preserve"> </w:t>
            </w:r>
          </w:p>
          <w:p>
            <w:pPr>
              <w:spacing w:line="360" w:lineRule="auto"/>
              <w:rPr>
                <w:rFonts w:ascii="宋体" w:cs="宋体"/>
                <w:szCs w:val="21"/>
              </w:rPr>
            </w:pPr>
            <w:r>
              <w:rPr>
                <w:rFonts w:ascii="宋体" w:hAnsi="宋体" w:cs="宋体"/>
                <w:szCs w:val="21"/>
              </w:rPr>
              <w:t>2.</w:t>
            </w:r>
            <w:r>
              <w:rPr>
                <w:rFonts w:hint="eastAsia" w:ascii="宋体" w:hAnsi="宋体" w:cs="宋体"/>
                <w:szCs w:val="21"/>
              </w:rPr>
              <w:t>程序文件， 包括标准要求的形成文件的信息。</w:t>
            </w:r>
          </w:p>
          <w:p>
            <w:pPr>
              <w:pStyle w:val="2"/>
              <w:tabs>
                <w:tab w:val="left" w:pos="3300"/>
                <w:tab w:val="left" w:pos="5160"/>
                <w:tab w:val="clear" w:pos="3510"/>
                <w:tab w:val="clear" w:pos="5580"/>
              </w:tabs>
              <w:spacing w:line="360" w:lineRule="auto"/>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spacing w:line="360" w:lineRule="auto"/>
              <w:ind w:firstLine="420" w:firstLineChars="200"/>
            </w:pPr>
            <w:r>
              <w:rPr>
                <w:rFonts w:hint="eastAsia" w:ascii="宋体" w:hAnsi="宋体" w:cs="宋体"/>
                <w:szCs w:val="21"/>
              </w:rPr>
              <w:t>包括管理制度</w:t>
            </w:r>
            <w:r>
              <w:rPr>
                <w:rFonts w:hint="eastAsia"/>
              </w:rPr>
              <w:t>、作业指导书等。</w:t>
            </w:r>
          </w:p>
          <w:p>
            <w:pPr>
              <w:spacing w:line="360" w:lineRule="auto"/>
            </w:pPr>
            <w:r>
              <w:t>4.</w:t>
            </w:r>
            <w:r>
              <w:rPr>
                <w:rFonts w:hint="eastAsia"/>
              </w:rPr>
              <w:t>体系运行所需要的文件和记录</w:t>
            </w:r>
          </w:p>
          <w:p>
            <w:pPr>
              <w:spacing w:line="360" w:lineRule="auto"/>
              <w:ind w:firstLine="420" w:firstLineChars="200"/>
            </w:pPr>
            <w:r>
              <w:rPr>
                <w:rFonts w:hint="eastAsia"/>
              </w:rPr>
              <w:t>编制了《文件控制程序》，用于对管理体系文件，符合标准要求。</w:t>
            </w:r>
          </w:p>
          <w:p>
            <w:pPr>
              <w:spacing w:line="360" w:lineRule="auto"/>
              <w:ind w:firstLine="420" w:firstLineChars="200"/>
            </w:pPr>
            <w:r>
              <w:rPr>
                <w:rFonts w:hint="eastAsia"/>
              </w:rPr>
              <w:t>查办公室管理手册、管理制度等文件均保管良好，为有效版本，有受控标识。</w:t>
            </w:r>
          </w:p>
          <w:p>
            <w:pPr>
              <w:spacing w:line="360" w:lineRule="auto"/>
              <w:ind w:firstLine="420" w:firstLineChars="200"/>
              <w:rPr>
                <w:rFonts w:ascii="宋体" w:hAnsi="宋体"/>
                <w:b/>
                <w:color w:val="000000" w:themeColor="text1"/>
                <w:sz w:val="20"/>
                <w:szCs w:val="20"/>
              </w:rPr>
            </w:pPr>
            <w:r>
              <w:rPr>
                <w:rFonts w:hint="eastAsia"/>
              </w:rPr>
              <w:t>办公室负责收集有关产品的国家标准、行业标准的最新版本，分发到相关部门使用；收回旧标准。以上外来文件保管良好，均为有效版本。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60" w:lineRule="auto"/>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rPr>
              <w:t>人力资源的简要说明.:</w:t>
            </w:r>
          </w:p>
          <w:p>
            <w:pPr>
              <w:spacing w:line="360" w:lineRule="auto"/>
              <w:rPr>
                <w:rFonts w:hint="eastAsia" w:ascii="Times New Roman" w:hAnsi="Times New Roman" w:cs="Times New Roman"/>
              </w:rPr>
            </w:pPr>
            <w:r>
              <w:rPr>
                <w:rFonts w:hint="eastAsia" w:ascii="Times New Roman" w:hAnsi="Times New Roman" w:cs="Times New Roman"/>
              </w:rPr>
              <w:t>生产、技术、检验、销售服务人员上岗前经过岗前培训，人员均经过专业培训。</w:t>
            </w:r>
          </w:p>
          <w:p>
            <w:pPr>
              <w:spacing w:line="360" w:lineRule="auto"/>
              <w:rPr>
                <w:rFonts w:hint="default" w:eastAsia="宋体"/>
                <w:lang w:val="en-US" w:eastAsia="zh-CN"/>
              </w:rPr>
            </w:pPr>
            <w:r>
              <w:rPr>
                <w:rFonts w:hint="eastAsia" w:ascii="Times New Roman" w:hAnsi="Times New Roman" w:cs="Times New Roman"/>
                <w:lang w:val="en-US" w:eastAsia="zh-CN"/>
              </w:rPr>
              <w:t>无特种设备人员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b/>
                <w:color w:val="000000"/>
                <w:sz w:val="20"/>
                <w:szCs w:val="20"/>
              </w:rPr>
            </w:pPr>
            <w:r>
              <w:rPr>
                <w:rFonts w:hint="eastAsia" w:ascii="宋体" w:hAnsi="宋体"/>
                <w:b/>
                <w:color w:val="000000"/>
                <w:sz w:val="20"/>
                <w:szCs w:val="20"/>
              </w:rPr>
              <w:t>设备设施（包括信息系统）、</w:t>
            </w:r>
          </w:p>
          <w:p>
            <w:pPr>
              <w:spacing w:line="360" w:lineRule="auto"/>
              <w:rPr>
                <w:rFonts w:ascii="宋体" w:hAnsi="宋体"/>
                <w:b/>
                <w:color w:val="000000" w:themeColor="text1"/>
                <w:sz w:val="20"/>
                <w:szCs w:val="20"/>
              </w:rPr>
            </w:pPr>
            <w:r>
              <w:rPr>
                <w:rFonts w:hint="eastAsia"/>
                <w:color w:val="000000" w:themeColor="text1"/>
              </w:rPr>
              <w:t>砂轮机、台钻、数控车床、手枪钻、焊台、定制链钳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b/>
                <w:color w:val="000000"/>
                <w:sz w:val="21"/>
                <w:szCs w:val="21"/>
              </w:rPr>
            </w:pPr>
            <w:r>
              <w:rPr>
                <w:rFonts w:hint="eastAsia" w:ascii="宋体" w:hAnsi="宋体"/>
                <w:b/>
                <w:color w:val="000000"/>
                <w:sz w:val="21"/>
                <w:szCs w:val="21"/>
              </w:rPr>
              <w:t>过程运行环境</w:t>
            </w:r>
          </w:p>
          <w:p>
            <w:pPr>
              <w:pStyle w:val="10"/>
              <w:spacing w:line="360" w:lineRule="auto"/>
              <w:rPr>
                <w:rFonts w:eastAsia="宋体" w:cs="宋体"/>
                <w:color w:val="auto"/>
                <w:kern w:val="2"/>
                <w:sz w:val="21"/>
                <w:szCs w:val="21"/>
              </w:rPr>
            </w:pPr>
            <w:r>
              <w:rPr>
                <w:rFonts w:hint="eastAsia" w:eastAsia="宋体" w:cs="宋体"/>
                <w:color w:val="auto"/>
                <w:kern w:val="2"/>
                <w:sz w:val="21"/>
                <w:szCs w:val="21"/>
                <w:lang w:val="en-US" w:eastAsia="zh-CN"/>
              </w:rPr>
              <w:t>远程</w:t>
            </w:r>
            <w:r>
              <w:rPr>
                <w:rFonts w:hint="eastAsia" w:eastAsia="宋体" w:cs="宋体"/>
                <w:color w:val="auto"/>
                <w:kern w:val="2"/>
                <w:sz w:val="21"/>
                <w:szCs w:val="21"/>
              </w:rPr>
              <w:t>观察，公司办公场所和生产场所均环境良好，满足办公需要，无特殊环境要求。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360" w:lineRule="auto"/>
              <w:ind w:firstLine="420" w:firstLineChars="200"/>
              <w:rPr>
                <w:rFonts w:ascii="宋体" w:hAnsi="宋体"/>
                <w:b/>
                <w:color w:val="000000" w:themeColor="text1"/>
                <w:sz w:val="20"/>
                <w:szCs w:val="20"/>
              </w:rPr>
            </w:pPr>
            <w:r>
              <w:rPr>
                <w:rFonts w:hint="eastAsia" w:ascii="宋体" w:hAnsi="宋体"/>
                <w:b w:val="0"/>
                <w:bCs/>
                <w:color w:val="000000" w:themeColor="text1"/>
                <w:sz w:val="21"/>
                <w:szCs w:val="21"/>
              </w:rPr>
              <w:t>提供《检验设备台账》有耐压测试仪、示波器、多路稳压直流源、双显示台式数字万用、任意波形信号发生器、绝缘电阻表、游标卡尺、钢卷尺等监视和测量设备40件，提供了检定证书见附件，均在有效期内，监视和测量资源满足现有生产、研发、销售服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b/>
                <w:color w:val="000000"/>
                <w:sz w:val="21"/>
                <w:szCs w:val="21"/>
              </w:rPr>
            </w:pPr>
            <w:r>
              <w:rPr>
                <w:rFonts w:hint="eastAsia" w:ascii="宋体" w:hAnsi="宋体"/>
                <w:b/>
                <w:color w:val="000000"/>
                <w:sz w:val="21"/>
                <w:szCs w:val="21"/>
              </w:rPr>
              <w:t>知识</w:t>
            </w:r>
          </w:p>
          <w:p>
            <w:pPr>
              <w:spacing w:line="360" w:lineRule="auto"/>
              <w:ind w:firstLine="420" w:firstLineChars="200"/>
              <w:rPr>
                <w:rFonts w:ascii="宋体" w:cs="宋体"/>
                <w:sz w:val="21"/>
                <w:szCs w:val="21"/>
              </w:rPr>
            </w:pPr>
            <w:r>
              <w:rPr>
                <w:rFonts w:hint="eastAsia" w:ascii="宋体" w:hAnsi="宋体" w:cs="宋体"/>
                <w:color w:val="000000"/>
                <w:kern w:val="0"/>
                <w:sz w:val="21"/>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auto"/>
              <w:rPr>
                <w:rFonts w:ascii="宋体"/>
                <w:b/>
                <w:color w:val="000000"/>
                <w:sz w:val="20"/>
                <w:szCs w:val="20"/>
              </w:rPr>
            </w:pPr>
            <w:r>
              <w:rPr>
                <w:rFonts w:hint="eastAsia" w:ascii="宋体" w:hAnsi="宋体"/>
                <w:b/>
                <w:color w:val="000000"/>
                <w:sz w:val="20"/>
                <w:szCs w:val="20"/>
              </w:rPr>
              <w:t>环保设施：</w:t>
            </w:r>
          </w:p>
          <w:p>
            <w:pPr>
              <w:spacing w:line="240" w:lineRule="auto"/>
              <w:ind w:firstLine="420" w:firstLineChars="200"/>
              <w:rPr>
                <w:rFonts w:ascii="宋体" w:hAnsi="宋体"/>
                <w:b/>
                <w:color w:val="000000" w:themeColor="text1"/>
                <w:sz w:val="20"/>
                <w:szCs w:val="20"/>
              </w:rPr>
            </w:pPr>
            <w:r>
              <w:rPr>
                <w:rFonts w:hint="eastAsia" w:ascii="宋体" w:hAnsi="宋体" w:cs="宋体"/>
                <w:bCs/>
                <w:szCs w:val="21"/>
                <w:lang w:val="en-US" w:eastAsia="zh-CN"/>
              </w:rPr>
              <w:t>垃圾分类桶</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auto"/>
              <w:rPr>
                <w:rFonts w:ascii="宋体"/>
                <w:b/>
                <w:color w:val="000000"/>
                <w:sz w:val="20"/>
                <w:szCs w:val="20"/>
              </w:rPr>
            </w:pPr>
            <w:r>
              <w:rPr>
                <w:rFonts w:hint="eastAsia" w:ascii="宋体" w:hAnsi="宋体"/>
                <w:b/>
                <w:color w:val="000000"/>
                <w:sz w:val="20"/>
                <w:szCs w:val="20"/>
              </w:rPr>
              <w:t>职业健康安全设施：</w:t>
            </w:r>
          </w:p>
          <w:p>
            <w:pPr>
              <w:spacing w:line="240" w:lineRule="auto"/>
              <w:ind w:firstLine="210" w:firstLineChars="100"/>
              <w:rPr>
                <w:rFonts w:ascii="宋体" w:hAnsi="宋体"/>
                <w:b/>
                <w:color w:val="000000" w:themeColor="text1"/>
                <w:sz w:val="20"/>
                <w:szCs w:val="20"/>
              </w:rPr>
            </w:pPr>
            <w:r>
              <w:rPr>
                <w:rFonts w:hint="eastAsia" w:ascii="宋体" w:hAnsi="宋体" w:cs="宋体"/>
                <w:bCs/>
                <w:szCs w:val="21"/>
              </w:rPr>
              <w:t>安全设施配置</w:t>
            </w:r>
            <w:r>
              <w:rPr>
                <w:rFonts w:ascii="宋体" w:hAnsi="宋体" w:cs="宋体"/>
                <w:bCs/>
                <w:szCs w:val="21"/>
              </w:rPr>
              <w:t>:</w:t>
            </w:r>
            <w:r>
              <w:rPr>
                <w:rFonts w:hint="eastAsia" w:ascii="宋体" w:hAnsi="宋体" w:cs="宋体"/>
                <w:bCs/>
                <w:szCs w:val="21"/>
              </w:rPr>
              <w:t>灭火器、消防器材、标识牌等。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210" w:firstLineChars="100"/>
              <w:rPr>
                <w:b/>
                <w:color w:val="000000" w:themeColor="text1"/>
                <w:sz w:val="20"/>
                <w:szCs w:val="20"/>
              </w:rPr>
            </w:pPr>
            <w:r>
              <w:rPr>
                <w:rFonts w:hint="eastAsia" w:ascii="宋体" w:hAnsi="宋体"/>
                <w:szCs w:val="22"/>
                <w:u w:val="none"/>
              </w:rPr>
              <w:t>根据组织宗旨制定了管理体系方针，进行了有效沟通，在管理评审时进行评审，</w:t>
            </w:r>
            <w:r>
              <w:rPr>
                <w:rFonts w:ascii="宋体" w:hAnsi="宋体"/>
                <w:szCs w:val="22"/>
                <w:u w:val="none"/>
              </w:rPr>
              <w:t>符合要求</w:t>
            </w:r>
            <w:r>
              <w:rPr>
                <w:rFonts w:hint="eastAsia" w:ascii="宋体" w:hAnsi="宋体"/>
                <w:szCs w:val="2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楷体_GB2312" w:eastAsia="楷体_GB2312"/>
                <w:b/>
                <w:color w:val="000000" w:themeColor="text1"/>
                <w:sz w:val="20"/>
                <w:szCs w:val="20"/>
                <w:lang w:eastAsia="zh-CN"/>
              </w:rPr>
            </w:pPr>
            <w:r>
              <w:rPr>
                <w:rFonts w:hint="eastAsia" w:ascii="楷体_GB2312" w:eastAsia="楷体_GB2312"/>
                <w:b/>
                <w:color w:val="000000" w:themeColor="text1"/>
                <w:sz w:val="20"/>
                <w:szCs w:val="20"/>
              </w:rPr>
              <w:t>内部沟通的情况：内部沟通方式：</w:t>
            </w:r>
            <w:r>
              <w:rPr>
                <w:rFonts w:hint="eastAsia" w:ascii="Times New Roman" w:hAnsi="Times New Roman" w:eastAsia="宋体" w:cs="Times New Roman"/>
                <w:kern w:val="2"/>
                <w:sz w:val="21"/>
                <w:szCs w:val="22"/>
                <w:lang w:val="en-US" w:eastAsia="zh-CN" w:bidi="ar-SA"/>
              </w:rPr>
              <w:t>培训、会议；</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Times New Roman" w:hAnsi="Times New Roman" w:eastAsia="宋体" w:cs="Times New Roman"/>
                <w:kern w:val="2"/>
                <w:sz w:val="21"/>
                <w:szCs w:val="22"/>
                <w:lang w:val="en-US" w:eastAsia="zh-CN" w:bidi="ar-SA"/>
              </w:rPr>
              <w:t>沟通畅通；</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kern w:val="2"/>
                <w:sz w:val="21"/>
                <w:szCs w:val="22"/>
                <w:lang w:val="en-US" w:eastAsia="zh-CN" w:bidi="ar-SA"/>
              </w:rPr>
              <w:t>定期组织顾客满意度调查和走访。</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Times New Roman" w:hAnsi="Times New Roman" w:eastAsia="宋体" w:cs="Times New Roman"/>
                <w:kern w:val="2"/>
                <w:sz w:val="21"/>
                <w:szCs w:val="22"/>
                <w:lang w:val="en-US" w:eastAsia="zh-CN" w:bidi="ar-SA"/>
              </w:rPr>
              <w:t>参加相关部门组织的会议，接收相关部门下达的通知并在公司内部沟通传达。</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Times New Roman" w:hAnsi="Times New Roman" w:eastAsia="宋体" w:cs="Times New Roman"/>
                <w:kern w:val="2"/>
                <w:sz w:val="21"/>
                <w:szCs w:val="22"/>
                <w:lang w:val="en-US" w:eastAsia="zh-CN" w:bidi="ar-SA"/>
              </w:rPr>
              <w:t>对相关方进行了环保告知。</w:t>
            </w:r>
          </w:p>
          <w:p>
            <w:pPr>
              <w:spacing w:line="360" w:lineRule="auto"/>
              <w:rPr>
                <w:rFonts w:hint="eastAsia" w:ascii="Times New Roman" w:hAnsi="Times New Roman" w:eastAsia="宋体" w:cs="Times New Roman"/>
                <w:kern w:val="2"/>
                <w:sz w:val="21"/>
                <w:szCs w:val="22"/>
                <w:lang w:val="en-US" w:eastAsia="zh-CN" w:bidi="ar-SA"/>
              </w:rPr>
            </w:pPr>
            <w:r>
              <w:rPr>
                <w:rFonts w:hint="eastAsia" w:ascii="楷体_GB2312" w:eastAsia="楷体_GB2312"/>
                <w:b/>
                <w:color w:val="000000" w:themeColor="text1"/>
                <w:sz w:val="20"/>
                <w:szCs w:val="20"/>
              </w:rPr>
              <w:t>OHSMS事务代表协商和交流的情况（OHSMS填写）：</w:t>
            </w:r>
            <w:r>
              <w:rPr>
                <w:rFonts w:hint="eastAsia" w:ascii="Times New Roman" w:hAnsi="Times New Roman" w:eastAsia="宋体" w:cs="Times New Roman"/>
                <w:kern w:val="2"/>
                <w:sz w:val="21"/>
                <w:szCs w:val="22"/>
                <w:lang w:val="en-US" w:eastAsia="zh-CN" w:bidi="ar-SA"/>
              </w:rPr>
              <w:t>公司经选举确定告诉员工代表是</w:t>
            </w:r>
            <w:r>
              <w:rPr>
                <w:rFonts w:hint="eastAsia" w:cs="Times New Roman"/>
                <w:kern w:val="2"/>
                <w:sz w:val="21"/>
                <w:szCs w:val="22"/>
                <w:lang w:val="en-US" w:eastAsia="zh-CN" w:bidi="ar-SA"/>
              </w:rPr>
              <w:t>张和兵</w:t>
            </w:r>
            <w:r>
              <w:rPr>
                <w:rFonts w:hint="eastAsia" w:ascii="Times New Roman" w:hAnsi="Times New Roman" w:eastAsia="宋体" w:cs="Times New Roman"/>
                <w:kern w:val="2"/>
                <w:sz w:val="21"/>
                <w:szCs w:val="22"/>
                <w:lang w:val="en-US" w:eastAsia="zh-CN" w:bidi="ar-SA"/>
              </w:rPr>
              <w:t>，</w:t>
            </w:r>
          </w:p>
          <w:p>
            <w:pPr>
              <w:spacing w:line="360" w:lineRule="auto"/>
              <w:rPr>
                <w:rFonts w:ascii="楷体_GB2312" w:eastAsia="楷体_GB2312"/>
                <w:b/>
                <w:color w:val="000000" w:themeColor="text1"/>
                <w:szCs w:val="21"/>
              </w:rPr>
            </w:pPr>
            <w:r>
              <w:rPr>
                <w:rFonts w:hint="eastAsia" w:ascii="Times New Roman" w:hAnsi="Times New Roman" w:eastAsia="宋体" w:cs="Times New Roman"/>
                <w:kern w:val="2"/>
                <w:sz w:val="21"/>
                <w:szCs w:val="22"/>
                <w:lang w:val="en-US" w:eastAsia="zh-CN" w:bidi="ar-SA"/>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eastAsia="宋体" w:cs="Times New Roman"/>
                <w:kern w:val="2"/>
                <w:sz w:val="21"/>
                <w:szCs w:val="22"/>
                <w:lang w:val="en-US" w:eastAsia="zh-CN" w:bidi="ar-SA"/>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color w:val="000000" w:themeColor="text1"/>
                <w:sz w:val="21"/>
                <w:szCs w:val="21"/>
              </w:rPr>
            </w:pPr>
            <w:r>
              <w:rPr>
                <w:rFonts w:hint="eastAsia"/>
                <w:color w:val="000000" w:themeColor="text1"/>
                <w:sz w:val="21"/>
                <w:szCs w:val="21"/>
              </w:rPr>
              <w:t>公司依据客户订单，下达生产任务通知单，接到定单后召开生产会议，进行生产、质量及管理工作协调。</w:t>
            </w:r>
          </w:p>
          <w:p>
            <w:pPr>
              <w:spacing w:line="360" w:lineRule="auto"/>
              <w:rPr>
                <w:color w:val="000000" w:themeColor="text1"/>
                <w:sz w:val="21"/>
                <w:szCs w:val="21"/>
              </w:rPr>
            </w:pPr>
            <w:r>
              <w:rPr>
                <w:rFonts w:hint="eastAsia"/>
                <w:color w:val="000000" w:themeColor="text1"/>
                <w:sz w:val="21"/>
                <w:szCs w:val="21"/>
              </w:rPr>
              <w:t>通过原材料检验、过程检验、成品检验等过程对产品质量、生产进度等进行监控。</w:t>
            </w:r>
          </w:p>
          <w:p>
            <w:pPr>
              <w:spacing w:line="360" w:lineRule="auto"/>
              <w:rPr>
                <w:color w:val="000000" w:themeColor="text1"/>
                <w:sz w:val="21"/>
                <w:szCs w:val="21"/>
              </w:rPr>
            </w:pPr>
            <w:r>
              <w:rPr>
                <w:rFonts w:hint="eastAsia"/>
                <w:color w:val="000000" w:themeColor="text1"/>
                <w:sz w:val="21"/>
                <w:szCs w:val="21"/>
              </w:rPr>
              <w:t>为生产过程提供了适宜的设备及环境，配备了胜任的人员。</w:t>
            </w:r>
          </w:p>
          <w:p>
            <w:pPr>
              <w:spacing w:line="360" w:lineRule="auto"/>
              <w:rPr>
                <w:color w:val="000000" w:themeColor="text1"/>
                <w:sz w:val="21"/>
                <w:szCs w:val="21"/>
              </w:rPr>
            </w:pPr>
            <w:r>
              <w:rPr>
                <w:rFonts w:hint="eastAsia"/>
                <w:color w:val="000000" w:themeColor="text1"/>
                <w:sz w:val="21"/>
                <w:szCs w:val="21"/>
              </w:rPr>
              <w:t>公司按照制定的产品检验规程、作业指导书等文件对产品的生产和检验过程实施了过程控制。</w:t>
            </w:r>
          </w:p>
          <w:p>
            <w:pPr>
              <w:spacing w:line="360" w:lineRule="auto"/>
              <w:rPr>
                <w:b/>
                <w:color w:val="000000" w:themeColor="text1"/>
                <w:sz w:val="20"/>
                <w:szCs w:val="20"/>
              </w:rPr>
            </w:pPr>
            <w:r>
              <w:rPr>
                <w:rFonts w:hint="eastAsia"/>
                <w:color w:val="000000" w:themeColor="text1"/>
                <w:sz w:val="21"/>
                <w:szCs w:val="21"/>
              </w:rPr>
              <w:t>对检验过程进行了能力确认，能力符合要求。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napToGrid w:val="0"/>
              <w:spacing w:line="360" w:lineRule="auto"/>
              <w:jc w:val="left"/>
              <w:rPr>
                <w:rFonts w:hint="eastAsia"/>
                <w:sz w:val="20"/>
              </w:rPr>
            </w:pPr>
            <w:r>
              <w:rPr>
                <w:rFonts w:hint="eastAsia"/>
                <w:sz w:val="20"/>
              </w:rPr>
              <w:t>企业</w:t>
            </w:r>
            <w:r>
              <w:rPr>
                <w:rFonts w:hint="eastAsia"/>
                <w:sz w:val="20"/>
                <w:lang w:val="en-US" w:eastAsia="zh-CN"/>
              </w:rPr>
              <w:t>产品</w:t>
            </w:r>
            <w:r>
              <w:rPr>
                <w:rFonts w:hint="eastAsia"/>
                <w:sz w:val="20"/>
              </w:rPr>
              <w:t>参考</w:t>
            </w:r>
            <w:r>
              <w:rPr>
                <w:rFonts w:hint="eastAsia"/>
                <w:sz w:val="20"/>
                <w:lang w:val="en-US" w:eastAsia="zh-CN"/>
              </w:rPr>
              <w:t>标准</w:t>
            </w:r>
            <w:r>
              <w:rPr>
                <w:rFonts w:hint="eastAsia"/>
                <w:sz w:val="20"/>
              </w:rPr>
              <w:t>主要有：Q/1500SJS 006—2014 ZYLG型煤矿用履带式全液压定向钻机、</w:t>
            </w:r>
          </w:p>
          <w:p>
            <w:pPr>
              <w:snapToGrid w:val="0"/>
              <w:spacing w:line="360" w:lineRule="auto"/>
              <w:ind w:firstLine="2400" w:firstLineChars="1200"/>
              <w:jc w:val="left"/>
              <w:rPr>
                <w:sz w:val="20"/>
              </w:rPr>
            </w:pPr>
            <w:r>
              <w:rPr>
                <w:rFonts w:hint="eastAsia"/>
                <w:sz w:val="20"/>
              </w:rPr>
              <w:t>Q/1500SJS 005—2014 KJD127矿用隔爆兼本安型计算机和客户要求。</w:t>
            </w:r>
          </w:p>
          <w:p>
            <w:pPr>
              <w:spacing w:line="360" w:lineRule="auto"/>
              <w:ind w:firstLine="400" w:firstLineChars="200"/>
              <w:rPr>
                <w:b/>
                <w:color w:val="000000" w:themeColor="text1"/>
                <w:sz w:val="20"/>
                <w:szCs w:val="20"/>
              </w:rPr>
            </w:pPr>
            <w:r>
              <w:rPr>
                <w:rFonts w:hint="eastAsia"/>
                <w:sz w:val="20"/>
              </w:rPr>
              <w:t>提供了产品检验记录，产品检验合格，满足顾客要求。</w:t>
            </w: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7. EMS组织对重要环境因素实施控制的结果</w:t>
            </w:r>
          </w:p>
          <w:p>
            <w:pPr>
              <w:spacing w:line="360" w:lineRule="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6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1、废水管控：</w:t>
            </w:r>
            <w:r>
              <w:rPr>
                <w:rFonts w:hint="eastAsia" w:ascii="宋体" w:hAnsi="宋体" w:eastAsia="宋体" w:cs="宋体"/>
                <w:color w:val="000000" w:themeColor="text1"/>
                <w:sz w:val="21"/>
                <w:szCs w:val="21"/>
                <w14:textFill>
                  <w14:solidFill>
                    <w14:schemeClr w14:val="tx1"/>
                  </w14:solidFill>
                </w14:textFill>
              </w:rPr>
              <w:t xml:space="preserve"> 公司无生产废水外排，生活废水</w:t>
            </w:r>
            <w:r>
              <w:rPr>
                <w:rFonts w:hint="eastAsia" w:ascii="宋体" w:hAnsi="宋体" w:eastAsia="宋体" w:cs="宋体"/>
                <w:color w:val="000000" w:themeColor="text1"/>
                <w:sz w:val="21"/>
                <w:szCs w:val="21"/>
                <w:lang w:val="en-US" w:eastAsia="zh-CN"/>
                <w14:textFill>
                  <w14:solidFill>
                    <w14:schemeClr w14:val="tx1"/>
                  </w14:solidFill>
                </w14:textFill>
              </w:rPr>
              <w:t>进入市政管网</w:t>
            </w:r>
            <w:r>
              <w:rPr>
                <w:rFonts w:hint="eastAsia" w:ascii="宋体" w:hAnsi="宋体" w:eastAsia="宋体" w:cs="宋体"/>
                <w:color w:val="000000" w:themeColor="text1"/>
                <w:sz w:val="21"/>
                <w:szCs w:val="21"/>
                <w14:textFill>
                  <w14:solidFill>
                    <w14:schemeClr w14:val="tx1"/>
                  </w14:solidFill>
                </w14:textFill>
              </w:rPr>
              <w:t>。</w:t>
            </w:r>
          </w:p>
          <w:p>
            <w:pPr>
              <w:spacing w:line="360" w:lineRule="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2、废气管控：焊接工序有少量废气排放，采用焊烟净化器吸附处理</w:t>
            </w:r>
            <w:r>
              <w:rPr>
                <w:rFonts w:hint="eastAsia" w:ascii="宋体" w:hAnsi="宋体" w:eastAsia="宋体" w:cs="宋体"/>
                <w:b w:val="0"/>
                <w:bCs/>
                <w:color w:val="000000" w:themeColor="text1"/>
                <w:sz w:val="21"/>
                <w:szCs w:val="21"/>
                <w:lang w:eastAsia="zh-CN"/>
                <w14:textFill>
                  <w14:solidFill>
                    <w14:schemeClr w14:val="tx1"/>
                  </w14:solidFill>
                </w14:textFill>
              </w:rPr>
              <w:t>。</w:t>
            </w:r>
          </w:p>
          <w:p>
            <w:pPr>
              <w:spacing w:line="36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3、噪声管控：</w:t>
            </w:r>
            <w:r>
              <w:rPr>
                <w:rFonts w:hint="eastAsia" w:ascii="宋体" w:hAnsi="宋体" w:eastAsia="宋体" w:cs="宋体"/>
                <w:b w:val="0"/>
                <w:bCs/>
                <w:color w:val="000000" w:themeColor="text1"/>
                <w:sz w:val="21"/>
                <w:szCs w:val="21"/>
                <w:lang w:val="en-US" w:eastAsia="zh-CN"/>
                <w14:textFill>
                  <w14:solidFill>
                    <w14:schemeClr w14:val="tx1"/>
                  </w14:solidFill>
                </w14:textFill>
              </w:rPr>
              <w:t>机床加工</w:t>
            </w:r>
            <w:r>
              <w:rPr>
                <w:rFonts w:hint="eastAsia" w:ascii="宋体" w:hAnsi="宋体" w:eastAsia="宋体" w:cs="宋体"/>
                <w:b w:val="0"/>
                <w:bCs/>
                <w:color w:val="000000" w:themeColor="text1"/>
                <w:sz w:val="21"/>
                <w:szCs w:val="21"/>
                <w14:textFill>
                  <w14:solidFill>
                    <w14:schemeClr w14:val="tx1"/>
                  </w14:solidFill>
                </w14:textFill>
              </w:rPr>
              <w:t>有噪声排放，经采取设备减震和隔离及厂房后衰减，可以达标。</w:t>
            </w:r>
          </w:p>
          <w:p>
            <w:pPr>
              <w:spacing w:line="36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4、固废管控：</w:t>
            </w:r>
            <w:r>
              <w:rPr>
                <w:rFonts w:hint="eastAsia" w:ascii="宋体" w:hAnsi="宋体" w:eastAsia="宋体" w:cs="宋体"/>
                <w:b w:val="0"/>
                <w:bCs/>
                <w:color w:val="000000" w:themeColor="text1"/>
                <w:sz w:val="21"/>
                <w:szCs w:val="21"/>
                <w:lang w:val="en-US" w:eastAsia="zh-CN"/>
                <w14:textFill>
                  <w14:solidFill>
                    <w14:schemeClr w14:val="tx1"/>
                  </w14:solidFill>
                </w14:textFill>
              </w:rPr>
              <w:t>生产</w:t>
            </w:r>
            <w:r>
              <w:rPr>
                <w:rFonts w:hint="eastAsia" w:ascii="宋体" w:hAnsi="宋体" w:eastAsia="宋体" w:cs="宋体"/>
                <w:b w:val="0"/>
                <w:bCs/>
                <w:color w:val="000000" w:themeColor="text1"/>
                <w:sz w:val="21"/>
                <w:szCs w:val="21"/>
                <w14:textFill>
                  <w14:solidFill>
                    <w14:schemeClr w14:val="tx1"/>
                  </w14:solidFill>
                </w14:textFill>
              </w:rPr>
              <w:t>过程产生边角料，回收外售处理，办公废旧硒鼓/墨盒，由供应商回收。生活垃圾由当地环卫所处理，公司缴纳处理费。</w:t>
            </w:r>
          </w:p>
          <w:p>
            <w:pPr>
              <w:spacing w:line="36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5、能源资源管控：注意节水、节电、节约钢材，人走关闭设备和照明开关，现场未发现有漏水和浪费电能的现象。</w:t>
            </w:r>
          </w:p>
          <w:p>
            <w:pPr>
              <w:spacing w:line="36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6、产品生命周期的环境管控：公司采购产品时已考虑了产品的环保性，严格按照环保等管理制度实施，控制好辅助材料的用量，避免浪费，生命周期终了时废旧钢材还可以回收再利用。</w:t>
            </w:r>
          </w:p>
          <w:p>
            <w:pPr>
              <w:spacing w:line="360" w:lineRule="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numId w:val="0"/>
              </w:numPr>
              <w:spacing w:line="360" w:lineRule="auto"/>
              <w:jc w:val="both"/>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OHSMS组织对不可接受风险实施控制的结果</w:t>
            </w:r>
          </w:p>
          <w:p>
            <w:pPr>
              <w:numPr>
                <w:numId w:val="0"/>
              </w:numPr>
              <w:spacing w:line="360" w:lineRule="auto"/>
              <w:jc w:val="both"/>
              <w:rPr>
                <w:rFonts w:ascii="宋体" w:hAnsi="宋体"/>
                <w:szCs w:val="22"/>
                <w:u w:val="none"/>
              </w:rPr>
            </w:pPr>
            <w:r>
              <w:rPr>
                <w:rFonts w:hint="eastAsia" w:ascii="宋体" w:hAnsi="宋体"/>
                <w:szCs w:val="22"/>
                <w:u w:val="none"/>
              </w:rPr>
              <w:t>1、潜在火灾管控：</w:t>
            </w:r>
          </w:p>
          <w:p>
            <w:pPr>
              <w:spacing w:line="360" w:lineRule="auto"/>
              <w:ind w:firstLine="421"/>
              <w:jc w:val="both"/>
              <w:rPr>
                <w:rFonts w:ascii="宋体" w:hAnsi="宋体"/>
                <w:szCs w:val="22"/>
                <w:u w:val="none"/>
              </w:rPr>
            </w:pPr>
            <w:r>
              <w:rPr>
                <w:rFonts w:hint="eastAsia" w:ascii="宋体" w:hAnsi="宋体"/>
                <w:szCs w:val="22"/>
                <w:u w:val="none"/>
              </w:rPr>
              <w:t>公司车间、仓库、办公室配备了灭火器，状态有效。</w:t>
            </w:r>
          </w:p>
          <w:p>
            <w:pPr>
              <w:spacing w:line="360" w:lineRule="auto"/>
              <w:jc w:val="both"/>
              <w:rPr>
                <w:rFonts w:ascii="宋体" w:hAnsi="宋体"/>
                <w:szCs w:val="22"/>
                <w:u w:val="none"/>
              </w:rPr>
            </w:pPr>
            <w:r>
              <w:rPr>
                <w:rFonts w:hint="eastAsia" w:ascii="宋体" w:hAnsi="宋体"/>
                <w:szCs w:val="22"/>
                <w:u w:val="none"/>
              </w:rPr>
              <w:t>2、安全防护：</w:t>
            </w:r>
          </w:p>
          <w:p>
            <w:pPr>
              <w:spacing w:line="360" w:lineRule="auto"/>
              <w:ind w:firstLine="421"/>
              <w:jc w:val="both"/>
              <w:rPr>
                <w:rFonts w:ascii="宋体" w:hAnsi="宋体"/>
                <w:szCs w:val="22"/>
                <w:u w:val="none"/>
              </w:rPr>
            </w:pPr>
            <w:r>
              <w:rPr>
                <w:rFonts w:hint="eastAsia" w:ascii="宋体" w:hAnsi="宋体"/>
                <w:szCs w:val="22"/>
                <w:u w:val="none"/>
              </w:rPr>
              <w:t>公司给员工发放手套、口罩、工作服等劳保用品，现场电线布线合理，漏电保护器状态良好。</w:t>
            </w:r>
          </w:p>
          <w:p>
            <w:pPr>
              <w:spacing w:line="360" w:lineRule="auto"/>
              <w:jc w:val="both"/>
              <w:rPr>
                <w:rFonts w:ascii="宋体" w:hAnsi="宋体"/>
                <w:szCs w:val="22"/>
                <w:u w:val="none"/>
              </w:rPr>
            </w:pPr>
            <w:r>
              <w:rPr>
                <w:rFonts w:hint="eastAsia" w:ascii="宋体" w:hAnsi="宋体"/>
                <w:szCs w:val="22"/>
                <w:u w:val="none"/>
              </w:rPr>
              <w:t>3、为主要长期员工上社保、工伤保险。</w:t>
            </w:r>
          </w:p>
          <w:p>
            <w:pPr>
              <w:spacing w:line="360" w:lineRule="auto"/>
              <w:jc w:val="both"/>
              <w:rPr>
                <w:rFonts w:ascii="宋体" w:hAnsi="宋体"/>
                <w:szCs w:val="22"/>
                <w:u w:val="none"/>
              </w:rPr>
            </w:pPr>
            <w:r>
              <w:rPr>
                <w:rFonts w:hint="eastAsia" w:ascii="宋体" w:hAnsi="宋体"/>
                <w:szCs w:val="22"/>
                <w:u w:val="none"/>
              </w:rPr>
              <w:t>4、为环境和职业健康安全管理体系运行提供了财务支持。</w:t>
            </w:r>
          </w:p>
          <w:p>
            <w:pPr>
              <w:spacing w:line="360" w:lineRule="auto"/>
              <w:jc w:val="both"/>
              <w:rPr>
                <w:rFonts w:ascii="宋体" w:hAnsi="宋体"/>
                <w:szCs w:val="22"/>
                <w:u w:val="none"/>
              </w:rPr>
            </w:pPr>
            <w:r>
              <w:rPr>
                <w:rFonts w:hint="eastAsia" w:ascii="宋体" w:hAnsi="宋体"/>
                <w:szCs w:val="22"/>
                <w:u w:val="none"/>
              </w:rPr>
              <w:t>5、员工饮用水为纯净水通过饮水机饮用。</w:t>
            </w:r>
          </w:p>
          <w:p>
            <w:pPr>
              <w:spacing w:line="240" w:lineRule="exact"/>
              <w:jc w:val="both"/>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420" w:firstLineChars="200"/>
              <w:rPr>
                <w:rFonts w:ascii="宋体" w:cs="宋体"/>
                <w:szCs w:val="21"/>
                <w:lang w:val="en-GB"/>
              </w:rPr>
            </w:pPr>
            <w:r>
              <w:rPr>
                <w:rFonts w:hint="eastAsia" w:ascii="宋体" w:hAnsi="宋体" w:cs="宋体"/>
                <w:szCs w:val="21"/>
                <w:lang w:val="en-GB"/>
              </w:rPr>
              <w:t>制定了《应急准备和响应控制程序》，编制了物体打击、火灾、触电应急预案，包含有事件级别及不同级别事件的处理程序、事件处理组织机构及职责分工、通用及特殊处理程序、各岗位要求等。具有可操作性。</w:t>
            </w:r>
          </w:p>
          <w:p>
            <w:pPr>
              <w:spacing w:line="360" w:lineRule="auto"/>
              <w:rPr>
                <w:b/>
                <w:color w:val="000000" w:themeColor="text1"/>
                <w:spacing w:val="-4"/>
                <w:sz w:val="20"/>
                <w:szCs w:val="20"/>
              </w:rPr>
            </w:pP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360" w:lineRule="auto"/>
              <w:ind w:firstLine="392" w:firstLineChars="196"/>
              <w:rPr>
                <w:rFonts w:hint="default" w:eastAsia="宋体"/>
                <w:b/>
                <w:color w:val="000000" w:themeColor="text1"/>
                <w:sz w:val="20"/>
                <w:szCs w:val="20"/>
                <w:lang w:val="en-US" w:eastAsia="zh-CN"/>
              </w:rPr>
            </w:pPr>
            <w:r>
              <w:rPr>
                <w:rFonts w:hint="eastAsia"/>
                <w:color w:val="000000"/>
                <w:sz w:val="20"/>
                <w:szCs w:val="20"/>
                <w:u w:val="none"/>
                <w:lang w:val="en-US" w:eastAsia="zh-CN"/>
              </w:rPr>
              <w:t>行车（租赁），有检验合格证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360" w:lineRule="auto"/>
              <w:ind w:firstLine="392" w:firstLineChars="196"/>
              <w:rPr>
                <w:b/>
                <w:color w:val="000000" w:themeColor="text1"/>
                <w:sz w:val="20"/>
                <w:szCs w:val="20"/>
              </w:rPr>
            </w:pPr>
            <w:r>
              <w:rPr>
                <w:color w:val="000000"/>
                <w:sz w:val="20"/>
                <w:szCs w:val="20"/>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360" w:lineRule="auto"/>
              <w:ind w:firstLine="315" w:firstLineChars="150"/>
              <w:rPr>
                <w:b/>
                <w:color w:val="000000" w:themeColor="text1"/>
                <w:sz w:val="20"/>
                <w:szCs w:val="20"/>
              </w:rPr>
            </w:pPr>
            <w:r>
              <w:rPr>
                <w:rFonts w:hint="eastAsia" w:ascii="宋体" w:hAnsi="宋体"/>
                <w:szCs w:val="22"/>
                <w:u w:val="none"/>
              </w:rPr>
              <w:t>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ind w:left="0" w:leftChars="0" w:firstLine="0" w:firstLineChars="0"/>
              <w:rPr>
                <w:rFonts w:hint="eastAsia"/>
                <w:b/>
                <w:color w:val="000000" w:themeColor="text1"/>
                <w:sz w:val="20"/>
                <w:szCs w:val="20"/>
              </w:rPr>
            </w:pPr>
            <w:r>
              <w:rPr>
                <w:rFonts w:hint="eastAsia"/>
                <w:b/>
                <w:color w:val="000000" w:themeColor="text1"/>
                <w:sz w:val="20"/>
                <w:szCs w:val="20"/>
              </w:rPr>
              <w:t>顾客满意</w:t>
            </w:r>
          </w:p>
          <w:p>
            <w:pPr>
              <w:numPr>
                <w:numId w:val="0"/>
              </w:numPr>
              <w:ind w:leftChars="0" w:firstLine="420" w:firstLineChars="200"/>
              <w:rPr>
                <w:szCs w:val="21"/>
                <w:lang w:val="zh-CN"/>
              </w:rPr>
            </w:pPr>
            <w:r>
              <w:rPr>
                <w:rFonts w:hint="eastAsia"/>
                <w:szCs w:val="21"/>
                <w:lang w:val="zh-CN"/>
              </w:rPr>
              <w:t>公司通过电话，走访等形式，接受顾客反馈，了解顾客满意度信息，发放调查表对顾客满意度进行定量测量。</w:t>
            </w:r>
          </w:p>
          <w:p>
            <w:pPr>
              <w:ind w:firstLine="420" w:firstLineChars="200"/>
              <w:rPr>
                <w:b/>
                <w:color w:val="000000" w:themeColor="text1"/>
                <w:sz w:val="20"/>
                <w:szCs w:val="20"/>
              </w:rPr>
            </w:pPr>
            <w:r>
              <w:rPr>
                <w:rFonts w:hint="eastAsia"/>
                <w:szCs w:val="21"/>
                <w:lang w:val="zh-CN"/>
              </w:rPr>
              <w:t>提供“顾客满意程度调查表”顾客较满意。</w:t>
            </w:r>
            <w:r>
              <w:rPr>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公司</w:t>
            </w:r>
            <w:r>
              <w:rPr>
                <w:rFonts w:hint="eastAsia" w:asciiTheme="minorEastAsia" w:hAnsiTheme="minorEastAsia" w:eastAsiaTheme="minorEastAsia"/>
                <w:szCs w:val="21"/>
              </w:rPr>
              <w:t>组织内部审核，一般每年进行一次内部审核，时间间隔不超过12个月，抽查最近一次的内部审核情况：</w:t>
            </w:r>
            <w:r>
              <w:rPr>
                <w:rFonts w:hint="eastAsia" w:asciiTheme="minorEastAsia" w:hAnsiTheme="minorEastAsia" w:eastAsiaTheme="minorEastAsia"/>
                <w:szCs w:val="21"/>
                <w:lang w:val="en-US" w:eastAsia="zh-CN"/>
              </w:rPr>
              <w:t>2020.5.8-9日，</w:t>
            </w:r>
            <w:r>
              <w:rPr>
                <w:rFonts w:hint="eastAsia" w:asciiTheme="minorEastAsia" w:hAnsiTheme="minorEastAsia" w:eastAsiaTheme="minorEastAsia"/>
                <w:szCs w:val="21"/>
              </w:rPr>
              <w:t>审核计划：提供《内审计划》，其内容已包括了审核目的、范围、准则、审核方法、日期</w:t>
            </w:r>
            <w:r>
              <w:rPr>
                <w:rFonts w:hint="eastAsia" w:asciiTheme="minorEastAsia" w:hAnsiTheme="minorEastAsia" w:eastAsiaTheme="minorEastAsia"/>
                <w:szCs w:val="21"/>
                <w:lang w:eastAsia="zh-CN"/>
              </w:rPr>
              <w:t>。</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审核目的：验证质量、环境、职业健康安全管理体系对标准的符合性及实施的有效性和充分性，持续改进管理体系。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审核依据：GB/T19001-2016、GB/T24001-2016、GB/T</w:t>
            </w:r>
            <w:r>
              <w:rPr>
                <w:rFonts w:hint="eastAsia" w:asciiTheme="minorEastAsia" w:hAnsiTheme="minorEastAsia" w:eastAsiaTheme="minorEastAsia"/>
                <w:szCs w:val="21"/>
                <w:lang w:val="en-US" w:eastAsia="zh-CN"/>
              </w:rPr>
              <w:t>45001</w:t>
            </w: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的标准、体系文件、顾客要求、相关法律法规等。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审核计划已考虑到互查的公正性，无审核员审核本部门的工作，计划内容涉及各部门，条款覆盖整个体系。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提供了内部审核检查证据，其中包括对总经理/管理者代表、办公室、</w:t>
            </w:r>
            <w:r>
              <w:rPr>
                <w:rFonts w:hint="eastAsia" w:asciiTheme="minorEastAsia" w:hAnsiTheme="minorEastAsia" w:eastAsiaTheme="minorEastAsia"/>
                <w:szCs w:val="21"/>
                <w:lang w:val="en-US" w:eastAsia="zh-CN"/>
              </w:rPr>
              <w:t>生产技术部、质检部、销售</w:t>
            </w:r>
            <w:r>
              <w:rPr>
                <w:rFonts w:hint="eastAsia" w:asciiTheme="minorEastAsia" w:hAnsiTheme="minorEastAsia" w:eastAsiaTheme="minorEastAsia"/>
                <w:szCs w:val="21"/>
              </w:rPr>
              <w:t>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研发部</w:t>
            </w:r>
            <w:r>
              <w:rPr>
                <w:rFonts w:hint="eastAsia" w:asciiTheme="minorEastAsia" w:hAnsiTheme="minorEastAsia" w:eastAsiaTheme="minorEastAsia"/>
                <w:szCs w:val="21"/>
              </w:rPr>
              <w:t>等部门的审核记录，条款与策划结果相一致，记录较完整。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本次内审发现</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个一般不符合项，涉及</w:t>
            </w:r>
            <w:r>
              <w:rPr>
                <w:rFonts w:hint="eastAsia"/>
              </w:rPr>
              <w:t>未提供特殊过程确认记录等；</w:t>
            </w:r>
            <w:r>
              <w:rPr>
                <w:rFonts w:hint="eastAsia" w:asciiTheme="minorEastAsia" w:hAnsiTheme="minorEastAsia" w:eastAsiaTheme="minorEastAsia"/>
                <w:szCs w:val="21"/>
              </w:rPr>
              <w:t>针对这</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个不合格，责任部门已分析了原因并采取了纠正措施，按要求进行了整改，最后内审员进行了验证，纠正措施实施有效。</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pPr>
              <w:spacing w:line="360" w:lineRule="auto"/>
              <w:rPr>
                <w:b/>
                <w:color w:val="000000" w:themeColor="text1"/>
                <w:sz w:val="20"/>
                <w:szCs w:val="20"/>
              </w:rPr>
            </w:pPr>
            <w:r>
              <w:rPr>
                <w:rFonts w:hint="eastAsia" w:asciiTheme="minorEastAsia" w:hAnsiTheme="minorEastAsia" w:eastAsiaTheme="minorEastAsia"/>
                <w:szCs w:val="21"/>
              </w:rPr>
              <w:t>公司内部审核基本有效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4.管理评审（管理评审体系变更需求，纠正和预防措施、体系有效性等）</w:t>
            </w:r>
          </w:p>
          <w:p>
            <w:pPr>
              <w:numPr>
                <w:ilvl w:val="0"/>
                <w:numId w:val="0"/>
              </w:numPr>
              <w:spacing w:line="360" w:lineRule="auto"/>
              <w:rPr>
                <w:rFonts w:asciiTheme="minorEastAsia" w:hAnsiTheme="minorEastAsia" w:eastAsiaTheme="minorEastAsia"/>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管理评审计划</w:t>
            </w:r>
            <w:r>
              <w:rPr>
                <w:rFonts w:hint="eastAsia" w:ascii="宋体" w:hAnsi="宋体" w:eastAsia="宋体" w:cs="宋体"/>
                <w:sz w:val="21"/>
                <w:szCs w:val="21"/>
                <w:lang w:eastAsia="zh-CN"/>
              </w:rPr>
              <w:t>》</w:t>
            </w:r>
            <w:r>
              <w:rPr>
                <w:rFonts w:hint="eastAsia" w:ascii="宋体" w:hAnsi="宋体" w:eastAsia="宋体" w:cs="宋体"/>
                <w:sz w:val="21"/>
                <w:szCs w:val="21"/>
              </w:rPr>
              <w:t>评审时间：20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26</w:t>
            </w:r>
            <w:r>
              <w:rPr>
                <w:rFonts w:hint="eastAsia" w:ascii="宋体" w:hAnsi="宋体" w:eastAsia="宋体" w:cs="宋体"/>
                <w:sz w:val="21"/>
                <w:szCs w:val="21"/>
              </w:rPr>
              <w:t>日 评审方式：会议评审，编制：</w:t>
            </w:r>
            <w:r>
              <w:rPr>
                <w:rFonts w:hint="eastAsia" w:ascii="宋体" w:hAnsi="宋体" w:eastAsia="宋体" w:cs="宋体"/>
                <w:sz w:val="21"/>
                <w:szCs w:val="21"/>
                <w:lang w:val="en-US" w:eastAsia="zh-CN"/>
              </w:rPr>
              <w:t xml:space="preserve">办公室  </w:t>
            </w:r>
            <w:r>
              <w:rPr>
                <w:rFonts w:hint="eastAsia" w:ascii="宋体" w:hAnsi="宋体" w:eastAsia="宋体" w:cs="宋体"/>
                <w:sz w:val="21"/>
                <w:szCs w:val="21"/>
              </w:rPr>
              <w:t>审核：</w:t>
            </w:r>
            <w:r>
              <w:rPr>
                <w:rFonts w:hint="eastAsia" w:ascii="宋体" w:hAnsi="宋体" w:eastAsia="宋体" w:cs="宋体"/>
                <w:sz w:val="21"/>
                <w:szCs w:val="21"/>
                <w:lang w:val="en-US" w:eastAsia="zh-CN"/>
              </w:rPr>
              <w:t>邵安芬</w:t>
            </w:r>
            <w:r>
              <w:rPr>
                <w:rFonts w:hint="eastAsia" w:asciiTheme="minorEastAsia" w:hAnsiTheme="minorEastAsia" w:eastAsiaTheme="minorEastAsia"/>
                <w:szCs w:val="21"/>
              </w:rPr>
              <w:t xml:space="preserve"> </w:t>
            </w:r>
          </w:p>
          <w:p>
            <w:pPr>
              <w:spacing w:line="360" w:lineRule="auto"/>
              <w:rPr>
                <w:rFonts w:ascii="宋体" w:hAnsi="宋体" w:cs="宋体"/>
                <w:szCs w:val="21"/>
              </w:rPr>
            </w:pPr>
            <w:r>
              <w:rPr>
                <w:rFonts w:hint="eastAsia" w:ascii="宋体" w:hAnsi="宋体" w:cs="宋体"/>
                <w:szCs w:val="21"/>
              </w:rPr>
              <w:t>2.管理评审会议记录</w:t>
            </w:r>
            <w:r>
              <w:rPr>
                <w:rFonts w:hint="eastAsia" w:ascii="宋体" w:hAnsi="宋体" w:cs="宋体"/>
                <w:szCs w:val="21"/>
                <w:lang w:eastAsia="zh-CN"/>
              </w:rPr>
              <w:t>：</w:t>
            </w: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360" w:lineRule="auto"/>
              <w:rPr>
                <w:rFonts w:hint="eastAsia" w:ascii="宋体" w:hAnsi="宋体" w:eastAsia="宋体" w:cs="宋体"/>
                <w:szCs w:val="21"/>
                <w:lang w:eastAsia="zh-CN"/>
              </w:rPr>
            </w:pPr>
            <w:r>
              <w:rPr>
                <w:rFonts w:hint="eastAsia" w:ascii="宋体" w:hAnsi="宋体" w:cs="宋体"/>
                <w:szCs w:val="21"/>
              </w:rPr>
              <w:t>3.管理评审报告</w:t>
            </w:r>
            <w:r>
              <w:rPr>
                <w:rFonts w:hint="eastAsia" w:ascii="宋体" w:hAnsi="宋体" w:cs="宋体"/>
                <w:szCs w:val="21"/>
                <w:lang w:eastAsia="zh-CN"/>
              </w:rPr>
              <w:t>：</w:t>
            </w:r>
          </w:p>
          <w:p>
            <w:pPr>
              <w:spacing w:line="360" w:lineRule="auto"/>
              <w:rPr>
                <w:rFonts w:hint="eastAsia" w:ascii="宋体" w:hAnsi="宋体" w:cs="宋体"/>
                <w:szCs w:val="21"/>
              </w:rPr>
            </w:pPr>
            <w:r>
              <w:rPr>
                <w:rFonts w:hint="eastAsia" w:ascii="宋体" w:hAnsi="宋体" w:cs="宋体"/>
                <w:szCs w:val="21"/>
              </w:rPr>
              <w:t>管理评审结论：公司运行着的质量管理体系是适宜的、充分的和有效的,质量方针符合公司实际,质量目标是可测量的,已分解到相关部门,并且已经基本完成,能够满足市场发展及顾客的需求,在管理体系运行过程中能够较好的遵守法律法规的其它要求;公司的组织结构、资源配备是基本合理的,能够满足公司生产和经营的需求。内审中采取的纠正措施是有效的,顾客对产品是很满意的,反映了公司产品质量是很高的,满足顾客的要求;公司从未发生过重大质量事故,无相关方抱怨。</w:t>
            </w:r>
          </w:p>
          <w:p>
            <w:pPr>
              <w:spacing w:line="360" w:lineRule="auto"/>
              <w:rPr>
                <w:rFonts w:hint="eastAsia" w:ascii="宋体" w:hAnsi="宋体" w:cs="宋体"/>
                <w:szCs w:val="21"/>
              </w:rPr>
            </w:pPr>
            <w:r>
              <w:rPr>
                <w:rFonts w:hint="eastAsia" w:ascii="宋体" w:hAnsi="宋体" w:cs="宋体"/>
                <w:szCs w:val="21"/>
              </w:rPr>
              <w:t>各级人员已建立质量意识,能够按照质量管理体系要求开展各项工作,但由于员工的责任心不强导致对标准的某些条款不够重视,如内审中发现的问题,今后要继续做到举一反三,</w:t>
            </w:r>
          </w:p>
          <w:p>
            <w:pPr>
              <w:spacing w:line="360" w:lineRule="auto"/>
              <w:rPr>
                <w:b/>
                <w:color w:val="000000" w:themeColor="text1"/>
                <w:sz w:val="20"/>
                <w:szCs w:val="20"/>
              </w:rPr>
            </w:pPr>
            <w:r>
              <w:rPr>
                <w:rFonts w:hint="eastAsia" w:ascii="宋体" w:hAnsi="宋体" w:cs="宋体"/>
                <w:szCs w:val="21"/>
              </w:rPr>
              <w:t>4.改进计划:公司的专业检验人员比较缺乏,由办公室提议并组织招聘工作,以便增加公司的人力资源，保证产品质量。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numId w:val="0"/>
              </w:numPr>
              <w:spacing w:line="240" w:lineRule="exact"/>
              <w:ind w:leftChars="0"/>
              <w:rPr>
                <w:rFonts w:hint="eastAsia"/>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EMS是否按规定对主要污染物（污水、废气、噪声、废渣等）及排放实施了例行的监视或测量，结果是否满足相关要求？</w:t>
            </w:r>
          </w:p>
          <w:p>
            <w:pPr>
              <w:numPr>
                <w:numId w:val="0"/>
              </w:numPr>
              <w:spacing w:line="240" w:lineRule="exact"/>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提供</w:t>
            </w:r>
            <w:r>
              <w:rPr>
                <w:rFonts w:hint="eastAsia" w:ascii="宋体" w:hAnsi="宋体" w:eastAsia="宋体" w:cs="宋体"/>
                <w:color w:val="000000"/>
                <w:sz w:val="21"/>
                <w:szCs w:val="21"/>
              </w:rPr>
              <w:t>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13日</w:t>
            </w:r>
            <w:r>
              <w:rPr>
                <w:rFonts w:hint="eastAsia" w:ascii="宋体" w:hAnsi="宋体" w:eastAsia="宋体" w:cs="宋体"/>
                <w:color w:val="000000"/>
                <w:sz w:val="21"/>
                <w:szCs w:val="21"/>
              </w:rPr>
              <w:t>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建设项目环境影响登记表</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建设内容及规模：煤矿用钻机、仪器仪表(包含随钻测量装置)及相关配套钻杆1的研发、生产装配,年生产能力100台套。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6"/>
              </w:numPr>
              <w:spacing w:line="240" w:lineRule="exact"/>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360" w:lineRule="auto"/>
              <w:rPr>
                <w:b/>
                <w:color w:val="000000" w:themeColor="text1"/>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b/>
                <w:color w:val="000000"/>
                <w:spacing w:val="-20"/>
                <w:sz w:val="20"/>
                <w:szCs w:val="20"/>
              </w:rPr>
              <w:t xml:space="preserve">  </w:t>
            </w:r>
            <w:r>
              <w:rPr>
                <w:rFonts w:hint="eastAsia"/>
                <w:color w:val="000000"/>
                <w:spacing w:val="-20"/>
                <w:sz w:val="20"/>
                <w:szCs w:val="20"/>
              </w:rPr>
              <w:t>已整改完毕。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numId w:val="0"/>
              </w:numPr>
              <w:spacing w:line="360" w:lineRule="auto"/>
              <w:ind w:leftChars="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numId w:val="0"/>
              </w:numPr>
              <w:spacing w:line="360" w:lineRule="auto"/>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2"/>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1"/>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trPr>
        <w:tc>
          <w:tcPr>
            <w:tcW w:w="10080" w:type="dxa"/>
          </w:tcPr>
          <w:p>
            <w:pPr>
              <w:spacing w:line="360" w:lineRule="auto"/>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360" w:lineRule="auto"/>
              <w:rPr>
                <w:rFonts w:hint="eastAsia" w:ascii="宋体" w:hAnsi="宋体" w:cs="宋体"/>
                <w:bCs/>
                <w:szCs w:val="21"/>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360" w:lineRule="auto"/>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9"/>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7"/>
        </w:numPr>
        <w:spacing w:line="360" w:lineRule="auto"/>
        <w:ind w:left="-850" w:leftChars="-405" w:firstLine="560" w:firstLineChars="200"/>
        <w:jc w:val="left"/>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numPr>
          <w:numId w:val="0"/>
        </w:numPr>
        <w:spacing w:line="360" w:lineRule="auto"/>
        <w:ind w:leftChars="-205"/>
        <w:rPr>
          <w:rFonts w:hint="eastAsia" w:ascii="Times New Roman" w:hAnsi="Times New Roman" w:eastAsia="宋体" w:cs="Times New Roman"/>
          <w:b/>
          <w:color w:val="000000" w:themeColor="text1"/>
          <w:lang w:eastAsia="zh-CN"/>
        </w:rPr>
      </w:pPr>
      <w:r>
        <w:rPr>
          <w:rFonts w:hint="eastAsia" w:ascii="Times New Roman" w:hAnsi="Times New Roman" w:eastAsia="宋体" w:cs="Times New Roman"/>
          <w:b/>
          <w:color w:val="000000" w:themeColor="text1"/>
        </w:rPr>
        <w:t>受疫情影响，本次审核为远程审核。后续安排现场审核进行验证，预留1</w:t>
      </w:r>
      <w:r>
        <w:rPr>
          <w:rFonts w:hint="eastAsia" w:cs="Times New Roman"/>
          <w:b/>
          <w:color w:val="000000" w:themeColor="text1"/>
          <w:lang w:val="en-US" w:eastAsia="zh-CN"/>
        </w:rPr>
        <w:t>审核</w:t>
      </w:r>
      <w:r>
        <w:rPr>
          <w:rFonts w:hint="eastAsia" w:ascii="Times New Roman" w:hAnsi="Times New Roman" w:eastAsia="宋体" w:cs="Times New Roman"/>
          <w:b/>
          <w:color w:val="000000" w:themeColor="text1"/>
        </w:rPr>
        <w:t>人日</w:t>
      </w:r>
      <w:r>
        <w:rPr>
          <w:rFonts w:hint="eastAsia" w:cs="Times New Roman"/>
          <w:b/>
          <w:color w:val="000000" w:themeColor="text1"/>
          <w:lang w:eastAsia="zh-CN"/>
        </w:rPr>
        <w:t>。</w:t>
      </w:r>
    </w:p>
    <w:p>
      <w:pPr>
        <w:spacing w:before="156" w:beforeLines="50" w:after="156" w:afterLines="50"/>
        <w:ind w:left="1" w:leftChars="-405" w:hanging="851" w:hangingChars="326"/>
        <w:rPr>
          <w:b/>
          <w:color w:val="000000" w:themeColor="text1"/>
          <w:sz w:val="26"/>
          <w:szCs w:val="26"/>
        </w:rPr>
      </w:pP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59264" behindDoc="0" locked="0" layoutInCell="1" allowOverlap="1">
            <wp:simplePos x="0" y="0"/>
            <wp:positionH relativeFrom="column">
              <wp:posOffset>1861820</wp:posOffset>
            </wp:positionH>
            <wp:positionV relativeFrom="paragraph">
              <wp:posOffset>328295</wp:posOffset>
            </wp:positionV>
            <wp:extent cx="443865" cy="319405"/>
            <wp:effectExtent l="0" t="0" r="635" b="10795"/>
            <wp:wrapNone/>
            <wp:docPr id="7" name="图片 7" descr="E:\360安全云盘同步版\国标联合审核\201906\0216沧州育航文体用品制造审核记录-初\新建文件夹\李俐签名1.jpg"/>
            <wp:cNvGraphicFramePr/>
            <a:graphic xmlns:a="http://schemas.openxmlformats.org/drawingml/2006/main">
              <a:graphicData uri="http://schemas.openxmlformats.org/drawingml/2006/picture">
                <pic:pic xmlns:pic="http://schemas.openxmlformats.org/drawingml/2006/picture">
                  <pic:nvPicPr>
                    <pic:cNvPr id="7" name="图片 7" descr="E:\360安全云盘同步版\国标联合审核\201906\0216沧州育航文体用品制造审核记录-初\新建文件夹\李俐签名1.jp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3865" cy="31940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lang w:val="en-US" w:eastAsia="zh-CN"/>
        </w:rPr>
        <w:drawing>
          <wp:anchor distT="0" distB="0" distL="114300" distR="114300" simplePos="0" relativeHeight="290593792" behindDoc="0" locked="0" layoutInCell="1" allowOverlap="1">
            <wp:simplePos x="0" y="0"/>
            <wp:positionH relativeFrom="column">
              <wp:posOffset>2940050</wp:posOffset>
            </wp:positionH>
            <wp:positionV relativeFrom="paragraph">
              <wp:posOffset>116205</wp:posOffset>
            </wp:positionV>
            <wp:extent cx="635000" cy="377825"/>
            <wp:effectExtent l="0" t="0" r="0" b="3175"/>
            <wp:wrapNone/>
            <wp:docPr id="79" name="图片 79" descr="79c219e387b1b1344685520eaafc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79c219e387b1b1344685520eaafc371"/>
                    <pic:cNvPicPr>
                      <a:picLocks noChangeAspect="1"/>
                    </pic:cNvPicPr>
                  </pic:nvPicPr>
                  <pic:blipFill>
                    <a:blip r:embed="rId7"/>
                    <a:stretch>
                      <a:fillRect/>
                    </a:stretch>
                  </pic:blipFill>
                  <pic:spPr>
                    <a:xfrm>
                      <a:off x="0" y="0"/>
                      <a:ext cx="635000" cy="377825"/>
                    </a:xfrm>
                    <a:prstGeom prst="rect">
                      <a:avLst/>
                    </a:prstGeom>
                  </pic:spPr>
                </pic:pic>
              </a:graphicData>
            </a:graphic>
          </wp:anchor>
        </w:drawing>
      </w:r>
      <w:r>
        <w:drawing>
          <wp:anchor distT="0" distB="0" distL="114300" distR="114300" simplePos="0" relativeHeight="251657216" behindDoc="0" locked="0" layoutInCell="1" allowOverlap="1">
            <wp:simplePos x="0" y="0"/>
            <wp:positionH relativeFrom="column">
              <wp:posOffset>1739900</wp:posOffset>
            </wp:positionH>
            <wp:positionV relativeFrom="paragraph">
              <wp:posOffset>120015</wp:posOffset>
            </wp:positionV>
            <wp:extent cx="648335" cy="372745"/>
            <wp:effectExtent l="0" t="0" r="12065" b="825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648335" cy="37274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132" w:firstLineChars="1960"/>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EMS(</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1 </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 xml:space="preserve"> 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90595840" behindDoc="0" locked="0" layoutInCell="1" allowOverlap="1">
            <wp:simplePos x="0" y="0"/>
            <wp:positionH relativeFrom="column">
              <wp:posOffset>833120</wp:posOffset>
            </wp:positionH>
            <wp:positionV relativeFrom="paragraph">
              <wp:posOffset>106680</wp:posOffset>
            </wp:positionV>
            <wp:extent cx="443865" cy="319405"/>
            <wp:effectExtent l="0" t="0" r="635" b="10795"/>
            <wp:wrapNone/>
            <wp:docPr id="3" name="图片 3" descr="E:\360安全云盘同步版\国标联合审核\201906\0216沧州育航文体用品制造审核记录-初\新建文件夹\李俐签名1.jpg"/>
            <wp:cNvGraphicFramePr/>
            <a:graphic xmlns:a="http://schemas.openxmlformats.org/drawingml/2006/main">
              <a:graphicData uri="http://schemas.openxmlformats.org/drawingml/2006/picture">
                <pic:pic xmlns:pic="http://schemas.openxmlformats.org/drawingml/2006/picture">
                  <pic:nvPicPr>
                    <pic:cNvPr id="3" name="图片 3" descr="E:\360安全云盘同步版\国标联合审核\201906\0216沧州育航文体用品制造审核记录-初\新建文件夹\李俐签名1.jp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3865" cy="31940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8</w:t>
      </w:r>
      <w:r>
        <w:rPr>
          <w:rFonts w:hint="eastAsia"/>
          <w:b/>
          <w:color w:val="000000" w:themeColor="text1"/>
          <w:szCs w:val="21"/>
        </w:rPr>
        <w:t>月</w:t>
      </w:r>
      <w:r>
        <w:rPr>
          <w:rFonts w:hint="eastAsia"/>
          <w:b/>
          <w:color w:val="000000" w:themeColor="text1"/>
          <w:szCs w:val="21"/>
          <w:lang w:val="en-US" w:eastAsia="zh-CN"/>
        </w:rPr>
        <w:t>29</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lang w:eastAsia="zh-CN"/>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23"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23"/>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E1E0E"/>
    <w:multiLevelType w:val="singleLevel"/>
    <w:tmpl w:val="D93E1E0E"/>
    <w:lvl w:ilvl="0" w:tentative="0">
      <w:start w:val="13"/>
      <w:numFmt w:val="chineseCounting"/>
      <w:suff w:val="space"/>
      <w:lvlText w:val="%1、"/>
      <w:lvlJc w:val="left"/>
      <w:rPr>
        <w:rFonts w:hint="eastAsia"/>
      </w:rPr>
    </w:lvl>
  </w:abstractNum>
  <w:abstractNum w:abstractNumId="1">
    <w:nsid w:val="E27FC549"/>
    <w:multiLevelType w:val="singleLevel"/>
    <w:tmpl w:val="E27FC549"/>
    <w:lvl w:ilvl="0" w:tentative="0">
      <w:start w:val="5"/>
      <w:numFmt w:val="decimal"/>
      <w:lvlText w:val="%1."/>
      <w:lvlJc w:val="left"/>
      <w:pPr>
        <w:tabs>
          <w:tab w:val="left" w:pos="312"/>
        </w:tabs>
      </w:pPr>
    </w:lvl>
  </w:abstractNum>
  <w:abstractNum w:abstractNumId="2">
    <w:nsid w:val="E494E758"/>
    <w:multiLevelType w:val="singleLevel"/>
    <w:tmpl w:val="E494E758"/>
    <w:lvl w:ilvl="0" w:tentative="0">
      <w:start w:val="9"/>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6">
    <w:nsid w:val="6945062F"/>
    <w:multiLevelType w:val="singleLevel"/>
    <w:tmpl w:val="6945062F"/>
    <w:lvl w:ilvl="0" w:tentative="0">
      <w:start w:val="2"/>
      <w:numFmt w:val="decimal"/>
      <w:suff w:val="nothing"/>
      <w:lvlText w:val="%1、"/>
      <w:lvlJc w:val="left"/>
    </w:lvl>
  </w:abstractNum>
  <w:abstractNum w:abstractNumId="7">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2652D24"/>
    <w:rsid w:val="17FB3067"/>
    <w:rsid w:val="233452E5"/>
    <w:rsid w:val="24F477C8"/>
    <w:rsid w:val="3A8A4D27"/>
    <w:rsid w:val="56D02428"/>
    <w:rsid w:val="6B694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semiHidden/>
    <w:unhideWhenUsed/>
    <w:qFormat/>
    <w:uiPriority w:val="99"/>
    <w:pPr>
      <w:spacing w:after="120"/>
    </w:p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19"/>
    <w:semiHidden/>
    <w:unhideWhenUsed/>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5"/>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uiPriority w:val="99"/>
    <w:rPr>
      <w:color w:val="0000FF"/>
      <w:u w:val="single"/>
    </w:rPr>
  </w:style>
  <w:style w:type="paragraph" w:customStyle="1" w:styleId="15">
    <w:name w:val="表格文字"/>
    <w:basedOn w:val="1"/>
    <w:qFormat/>
    <w:uiPriority w:val="99"/>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8"/>
    <w:qFormat/>
    <w:uiPriority w:val="99"/>
    <w:rPr>
      <w:rFonts w:ascii="Times New Roman" w:hAnsi="Times New Roman" w:eastAsia="宋体" w:cs="Times New Roman"/>
      <w:sz w:val="18"/>
      <w:szCs w:val="18"/>
    </w:rPr>
  </w:style>
  <w:style w:type="character" w:customStyle="1" w:styleId="18">
    <w:name w:val="页脚 Char"/>
    <w:basedOn w:val="13"/>
    <w:link w:val="7"/>
    <w:qFormat/>
    <w:uiPriority w:val="99"/>
    <w:rPr>
      <w:rFonts w:ascii="Times New Roman" w:hAnsi="Times New Roman" w:eastAsia="宋体" w:cs="Times New Roman"/>
      <w:sz w:val="18"/>
      <w:szCs w:val="18"/>
    </w:rPr>
  </w:style>
  <w:style w:type="character" w:customStyle="1" w:styleId="19">
    <w:name w:val="批注框文本 Char"/>
    <w:basedOn w:val="13"/>
    <w:link w:val="6"/>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2020-08-31T23:34:14Z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