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温州福鑫仪表有限公司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rPr>
        <w:t>0122-2019-2020</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b/>
          <w:bCs/>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0122-2019-2020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温州福鑫仪表有限公司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裴举胜</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ISC-2019-0471</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2024-08-21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2020年08月12日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themeColor="text1"/>
                <w:szCs w:val="21"/>
                <w:shd w:val="clear" w:color="auto" w:fill="auto"/>
              </w:rPr>
            </w:pPr>
            <w:r>
              <w:rPr>
                <w:rFonts w:hint="eastAsia" w:ascii="宋体" w:hAnsi="宋体"/>
                <w:color w:val="000000" w:themeColor="text1"/>
                <w:szCs w:val="21"/>
                <w:shd w:val="clear" w:color="auto" w:fill="auto"/>
                <w:lang w:val="en-US" w:eastAsia="zh-CN"/>
              </w:rPr>
              <w:t>黄金荣</w:t>
            </w:r>
            <w:r>
              <w:rPr>
                <w:rFonts w:ascii="宋体" w:hAnsi="宋体"/>
                <w:color w:val="000000" w:themeColor="text1"/>
                <w:szCs w:val="21"/>
                <w:shd w:val="clear" w:color="auto" w:fill="auto"/>
              </w:rPr>
              <w:t>中认协评[2018]249号ISC[S]0062</w:t>
            </w:r>
          </w:p>
          <w:p>
            <w:pPr>
              <w:tabs>
                <w:tab w:val="left" w:pos="880"/>
              </w:tabs>
              <w:autoSpaceDE w:val="0"/>
              <w:autoSpaceDN w:val="0"/>
              <w:adjustRightInd w:val="0"/>
              <w:spacing w:before="35" w:line="276" w:lineRule="auto"/>
              <w:ind w:right="161"/>
              <w:rPr>
                <w:rFonts w:hint="default" w:ascii="宋体" w:hAnsi="宋体" w:eastAsiaTheme="minorEastAsia"/>
                <w:color w:val="000000" w:themeColor="text1"/>
                <w:szCs w:val="21"/>
                <w:shd w:val="clear" w:color="auto" w:fill="auto"/>
                <w:lang w:val="en-US" w:eastAsia="zh-CN"/>
              </w:rPr>
            </w:pPr>
            <w:r>
              <w:rPr>
                <w:rFonts w:hint="eastAsia" w:ascii="宋体" w:hAnsi="宋体"/>
                <w:color w:val="000000" w:themeColor="text1"/>
                <w:szCs w:val="21"/>
                <w:shd w:val="clear" w:color="auto" w:fill="auto"/>
                <w:lang w:val="en-US" w:eastAsia="zh-CN"/>
              </w:rPr>
              <w:t>尹彩侠</w:t>
            </w:r>
            <w:r>
              <w:rPr>
                <w:rFonts w:ascii="宋体" w:hAnsi="宋体"/>
                <w:color w:val="000000" w:themeColor="text1"/>
                <w:szCs w:val="21"/>
                <w:shd w:val="clear" w:color="auto" w:fill="auto"/>
              </w:rPr>
              <w:t>中认协评[2019]140 号ISC[S]0123</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color w:val="000000" w:themeColor="text1"/>
                <w:kern w:val="0"/>
                <w:szCs w:val="21"/>
              </w:rPr>
            </w:pPr>
            <w:r>
              <w:rPr>
                <w:rFonts w:cs="宋体" w:asciiTheme="minorEastAsia" w:hAnsiTheme="minorEastAsia"/>
                <w:bCs/>
                <w:color w:val="000000" w:themeColor="text1"/>
                <w:kern w:val="0"/>
                <w:szCs w:val="21"/>
              </w:rPr>
              <w:t>监督审核涉及的区域或部门</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color w:val="000000" w:themeColor="text1"/>
                <w:kern w:val="0"/>
                <w:szCs w:val="21"/>
              </w:rPr>
            </w:pPr>
            <w:r>
              <w:rPr>
                <w:rFonts w:hint="eastAsia" w:ascii="宋体" w:hAnsi="宋体"/>
                <w:color w:val="000000" w:themeColor="text1"/>
                <w:szCs w:val="21"/>
                <w:lang w:val="en-US" w:eastAsia="zh-CN"/>
              </w:rPr>
              <w:t>质检科、办公室、生技科（生产车间）</w:t>
            </w:r>
            <w:r>
              <w:rPr>
                <w:rFonts w:hint="eastAsia" w:eastAsia="新宋体"/>
                <w:color w:val="000000" w:themeColor="text1"/>
                <w:szCs w:val="21"/>
                <w:lang w:val="en-US" w:eastAsia="zh-CN"/>
              </w:rPr>
              <w:t>、</w:t>
            </w:r>
            <w:r>
              <w:rPr>
                <w:rFonts w:hint="eastAsia" w:ascii="宋体" w:hAnsi="宋体"/>
                <w:color w:val="000000" w:themeColor="text1"/>
                <w:szCs w:val="21"/>
                <w:lang w:val="en-US" w:eastAsia="zh-CN"/>
              </w:rPr>
              <w:t>采购部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Theme="majorEastAsia" w:hAnsiTheme="majorEastAsia" w:eastAsiaTheme="majorEastAsia" w:cstheme="majorEastAsia"/>
          <w:bCs/>
          <w:color w:val="000000" w:themeColor="text1"/>
          <w:kern w:val="0"/>
          <w:sz w:val="24"/>
          <w:szCs w:val="24"/>
        </w:rPr>
      </w:pPr>
      <w:r>
        <w:rPr>
          <w:rFonts w:hint="eastAsia" w:asciiTheme="majorEastAsia" w:hAnsiTheme="majorEastAsia" w:eastAsiaTheme="majorEastAsia" w:cstheme="majorEastAsia"/>
          <w:bCs/>
          <w:color w:val="000000" w:themeColor="text1"/>
          <w:kern w:val="0"/>
          <w:sz w:val="24"/>
          <w:szCs w:val="24"/>
        </w:rPr>
        <w:t>1.一年内违反法律法规或重大事故的情况：</w:t>
      </w:r>
    </w:p>
    <w:p>
      <w:pPr>
        <w:spacing w:line="360" w:lineRule="auto"/>
        <w:ind w:right="-512" w:rightChars="-244"/>
        <w:rPr>
          <w:rFonts w:hint="eastAsia" w:ascii="宋体" w:hAnsi="宋体" w:eastAsia="宋体" w:cs="宋体"/>
          <w:bCs/>
          <w:color w:val="000000" w:themeColor="text1"/>
          <w:kern w:val="0"/>
          <w:sz w:val="24"/>
          <w:szCs w:val="24"/>
        </w:rPr>
      </w:pPr>
      <w:r>
        <w:rPr>
          <w:rFonts w:hint="eastAsia" w:asciiTheme="majorEastAsia" w:hAnsiTheme="majorEastAsia" w:eastAsiaTheme="majorEastAsia" w:cstheme="majorEastAsia"/>
          <w:bCs/>
          <w:color w:val="000000" w:themeColor="text1"/>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w:t>
      </w:r>
      <w:r>
        <w:rPr>
          <w:rFonts w:hint="eastAsia" w:asciiTheme="majorEastAsia" w:hAnsiTheme="majorEastAsia" w:eastAsiaTheme="majorEastAsia" w:cstheme="majorEastAsia"/>
          <w:b w:val="0"/>
          <w:bCs/>
          <w:color w:val="000000" w:themeColor="text1"/>
          <w:kern w:val="0"/>
          <w:sz w:val="24"/>
          <w:szCs w:val="24"/>
          <w:lang w:val="en-US" w:eastAsia="zh-CN"/>
        </w:rPr>
        <w:t>企业能源计量情况：</w:t>
      </w:r>
      <w:r>
        <w:rPr>
          <w:rFonts w:hint="eastAsia" w:ascii="宋体" w:hAnsi="宋体" w:eastAsia="宋体" w:cs="宋体"/>
          <w:bCs/>
          <w:color w:val="000000" w:themeColor="text1"/>
          <w:kern w:val="0"/>
          <w:sz w:val="24"/>
          <w:szCs w:val="24"/>
        </w:rPr>
        <w:t>企业主要耗能为水、电</w:t>
      </w:r>
      <w:r>
        <w:rPr>
          <w:rFonts w:hint="eastAsia" w:ascii="宋体" w:hAnsi="宋体" w:eastAsia="宋体" w:cs="宋体"/>
          <w:bCs/>
          <w:color w:val="000000" w:themeColor="text1"/>
          <w:kern w:val="0"/>
          <w:sz w:val="24"/>
          <w:szCs w:val="24"/>
          <w:lang w:val="en-US" w:eastAsia="zh-CN"/>
        </w:rPr>
        <w:t>。2020年消耗1-6月份消耗水生活用水300吨。耗电1-6月22208度，</w:t>
      </w:r>
      <w:r>
        <w:rPr>
          <w:rFonts w:hint="eastAsia" w:ascii="宋体" w:hAnsi="宋体" w:eastAsia="宋体" w:cs="宋体"/>
          <w:bCs/>
          <w:color w:val="000000" w:themeColor="text1"/>
          <w:kern w:val="0"/>
          <w:sz w:val="24"/>
          <w:szCs w:val="24"/>
        </w:rPr>
        <w:t>不属于重点能耗单位。</w:t>
      </w:r>
    </w:p>
    <w:p>
      <w:pPr>
        <w:spacing w:line="360" w:lineRule="auto"/>
        <w:ind w:right="-512" w:rightChars="-244" w:firstLine="480" w:firstLineChars="200"/>
        <w:rPr>
          <w:rFonts w:hint="eastAsia" w:asciiTheme="majorEastAsia" w:hAnsiTheme="majorEastAsia" w:eastAsiaTheme="majorEastAsia" w:cstheme="majorEastAsia"/>
          <w:b w:val="0"/>
          <w:bCs/>
          <w:color w:val="auto"/>
          <w:kern w:val="0"/>
          <w:sz w:val="24"/>
          <w:szCs w:val="24"/>
          <w:highlight w:val="yellow"/>
        </w:rPr>
      </w:pPr>
    </w:p>
    <w:p>
      <w:pPr>
        <w:spacing w:line="360" w:lineRule="auto"/>
        <w:ind w:right="-512" w:rightChars="-244"/>
        <w:rPr>
          <w:rFonts w:hint="eastAsia" w:asciiTheme="majorEastAsia" w:hAnsiTheme="majorEastAsia" w:eastAsiaTheme="majorEastAsia" w:cstheme="majorEastAsia"/>
          <w:bCs/>
          <w:color w:val="auto"/>
          <w:kern w:val="0"/>
          <w:sz w:val="24"/>
          <w:szCs w:val="24"/>
        </w:rPr>
      </w:pPr>
      <w:r>
        <w:rPr>
          <w:rFonts w:hint="eastAsia" w:asciiTheme="majorEastAsia" w:hAnsiTheme="majorEastAsia" w:eastAsiaTheme="majorEastAsia" w:cstheme="majorEastAsia"/>
          <w:bCs/>
          <w:color w:val="auto"/>
          <w:kern w:val="0"/>
          <w:sz w:val="24"/>
          <w:szCs w:val="24"/>
        </w:rPr>
        <w:t>2.监督审核过程简述：</w:t>
      </w:r>
    </w:p>
    <w:p>
      <w:pPr>
        <w:spacing w:line="360" w:lineRule="auto"/>
        <w:ind w:right="-512" w:rightChars="-244"/>
        <w:rPr>
          <w:rFonts w:asciiTheme="majorEastAsia" w:hAnsiTheme="majorEastAsia" w:eastAsiaTheme="majorEastAsia" w:cstheme="majorEastAsia"/>
          <w:color w:val="auto"/>
          <w:sz w:val="24"/>
          <w:szCs w:val="24"/>
        </w:rPr>
      </w:pPr>
      <w:r>
        <w:rPr>
          <w:rFonts w:hint="eastAsia" w:ascii="宋体" w:hAnsi="宋体"/>
          <w:color w:val="auto"/>
          <w:sz w:val="24"/>
          <w:szCs w:val="24"/>
        </w:rPr>
        <w:t xml:space="preserve">   </w:t>
      </w:r>
    </w:p>
    <w:p>
      <w:pPr>
        <w:spacing w:line="360" w:lineRule="auto"/>
        <w:ind w:right="-512" w:rightChars="-244"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000000" w:themeColor="text1"/>
          <w:sz w:val="24"/>
          <w:szCs w:val="24"/>
        </w:rPr>
        <w:t>为</w:t>
      </w:r>
      <w:r>
        <w:rPr>
          <w:rFonts w:hint="eastAsia" w:asciiTheme="majorEastAsia" w:hAnsiTheme="majorEastAsia" w:eastAsiaTheme="majorEastAsia" w:cstheme="majorEastAsia"/>
          <w:bCs/>
          <w:color w:val="000000" w:themeColor="text1"/>
          <w:kern w:val="0"/>
          <w:sz w:val="24"/>
          <w:szCs w:val="24"/>
        </w:rPr>
        <w:t>有效评价公司测量管理体系认证后一年以来运行情况，在</w:t>
      </w:r>
      <w:r>
        <w:rPr>
          <w:rFonts w:cs="宋体" w:asciiTheme="minorEastAsia" w:hAnsiTheme="minorEastAsia"/>
          <w:color w:val="000000" w:themeColor="text1"/>
          <w:kern w:val="0"/>
          <w:sz w:val="24"/>
          <w:szCs w:val="24"/>
        </w:rPr>
        <w:t>温州福鑫仪表有限公司</w:t>
      </w:r>
      <w:r>
        <w:rPr>
          <w:rFonts w:hint="eastAsia" w:asciiTheme="majorEastAsia" w:hAnsiTheme="majorEastAsia" w:eastAsiaTheme="majorEastAsia" w:cstheme="majorEastAsia"/>
          <w:bCs/>
          <w:color w:val="000000" w:themeColor="text1"/>
          <w:kern w:val="0"/>
          <w:sz w:val="24"/>
          <w:szCs w:val="24"/>
        </w:rPr>
        <w:t>现场审核中，审核组分两个组先、后抽样检查了涉及公司测量体系内的管理、生产、质量和环境等方面的</w:t>
      </w:r>
      <w:r>
        <w:rPr>
          <w:rFonts w:hint="eastAsia" w:asciiTheme="majorEastAsia" w:hAnsiTheme="majorEastAsia" w:eastAsiaTheme="majorEastAsia" w:cstheme="majorEastAsia"/>
          <w:bCs/>
          <w:color w:val="000000" w:themeColor="text1"/>
          <w:kern w:val="0"/>
          <w:sz w:val="24"/>
          <w:szCs w:val="24"/>
          <w:lang w:val="en-US" w:eastAsia="zh-CN"/>
        </w:rPr>
        <w:t>4</w:t>
      </w:r>
      <w:r>
        <w:rPr>
          <w:rFonts w:hint="eastAsia" w:asciiTheme="majorEastAsia" w:hAnsiTheme="majorEastAsia" w:eastAsiaTheme="majorEastAsia" w:cstheme="majorEastAsia"/>
          <w:bCs/>
          <w:color w:val="000000" w:themeColor="text1"/>
          <w:kern w:val="0"/>
          <w:sz w:val="24"/>
          <w:szCs w:val="24"/>
        </w:rPr>
        <w:t>个职能部门</w:t>
      </w:r>
      <w:r>
        <w:rPr>
          <w:rFonts w:hint="eastAsia" w:asciiTheme="majorEastAsia" w:hAnsiTheme="majorEastAsia" w:eastAsiaTheme="majorEastAsia" w:cstheme="majorEastAsia"/>
          <w:bCs/>
          <w:color w:val="000000" w:themeColor="text1"/>
          <w:kern w:val="0"/>
          <w:sz w:val="24"/>
          <w:szCs w:val="24"/>
          <w:lang w:val="en-US" w:eastAsia="zh-CN"/>
        </w:rPr>
        <w:t xml:space="preserve">和车间 </w:t>
      </w:r>
      <w:r>
        <w:rPr>
          <w:rFonts w:hint="eastAsia" w:asciiTheme="majorEastAsia" w:hAnsiTheme="majorEastAsia" w:eastAsiaTheme="majorEastAsia" w:cstheme="majorEastAsia"/>
          <w:bCs/>
          <w:color w:val="000000" w:themeColor="text1"/>
          <w:kern w:val="0"/>
          <w:sz w:val="24"/>
          <w:szCs w:val="24"/>
        </w:rPr>
        <w:t>。</w:t>
      </w:r>
      <w:r>
        <w:rPr>
          <w:rFonts w:hint="eastAsia" w:asciiTheme="majorEastAsia" w:hAnsiTheme="majorEastAsia" w:eastAsiaTheme="majorEastAsia" w:cstheme="majorEastAsia"/>
          <w:bCs/>
          <w:color w:val="000000" w:themeColor="text1"/>
          <w:kern w:val="0"/>
          <w:sz w:val="24"/>
          <w:szCs w:val="24"/>
          <w:lang w:val="en-US" w:eastAsia="zh-CN"/>
        </w:rPr>
        <w:t>覆盖了</w:t>
      </w:r>
      <w:r>
        <w:rPr>
          <w:rFonts w:hint="eastAsia" w:asciiTheme="majorEastAsia" w:hAnsiTheme="majorEastAsia" w:eastAsiaTheme="majorEastAsia" w:cstheme="majorEastAsia"/>
          <w:color w:val="000000" w:themeColor="text1"/>
          <w:sz w:val="24"/>
          <w:szCs w:val="24"/>
        </w:rPr>
        <w:t>GB/T 19022-2003标</w:t>
      </w:r>
      <w:r>
        <w:rPr>
          <w:rFonts w:hint="eastAsia" w:asciiTheme="minorEastAsia" w:hAnsiTheme="minorEastAsia" w:eastAsiaTheme="minorEastAsia" w:cstheme="minorEastAsia"/>
          <w:color w:val="000000" w:themeColor="text1"/>
          <w:sz w:val="24"/>
          <w:szCs w:val="24"/>
        </w:rPr>
        <w:t>准</w:t>
      </w:r>
      <w:r>
        <w:rPr>
          <w:rFonts w:hint="eastAsia" w:asciiTheme="minorEastAsia" w:hAnsiTheme="minorEastAsia" w:eastAsiaTheme="minorEastAsia" w:cstheme="minorEastAsia"/>
          <w:color w:val="000000" w:themeColor="text1"/>
          <w:sz w:val="24"/>
          <w:szCs w:val="24"/>
          <w:lang w:val="en-US" w:eastAsia="zh-CN"/>
        </w:rPr>
        <w:t>相关要素和体系涉及的主要范围。</w:t>
      </w:r>
      <w:r>
        <w:rPr>
          <w:rFonts w:hint="eastAsia" w:asciiTheme="minorEastAsia" w:hAnsiTheme="minorEastAsia" w:eastAsiaTheme="minorEastAsia" w:cstheme="minorEastAsia"/>
          <w:bCs/>
          <w:color w:val="000000" w:themeColor="text1"/>
          <w:kern w:val="0"/>
          <w:sz w:val="24"/>
          <w:szCs w:val="24"/>
        </w:rPr>
        <w:t>重点核查环节有</w:t>
      </w:r>
      <w:r>
        <w:rPr>
          <w:rFonts w:hint="eastAsia" w:asciiTheme="minorEastAsia" w:hAnsiTheme="minorEastAsia" w:eastAsiaTheme="minorEastAsia" w:cstheme="minorEastAsia"/>
          <w:bCs/>
          <w:color w:val="000000" w:themeColor="text1"/>
          <w:kern w:val="0"/>
          <w:sz w:val="24"/>
          <w:szCs w:val="24"/>
          <w:lang w:val="en-US" w:eastAsia="zh-CN"/>
        </w:rPr>
        <w:t>原材料检验、产品出厂检验等测量过程</w:t>
      </w:r>
      <w:r>
        <w:rPr>
          <w:rFonts w:hint="eastAsia" w:asciiTheme="minorEastAsia" w:hAnsiTheme="minorEastAsia" w:eastAsiaTheme="minorEastAsia" w:cstheme="minorEastAsia"/>
          <w:bCs/>
          <w:color w:val="000000" w:themeColor="text1"/>
          <w:kern w:val="0"/>
          <w:sz w:val="24"/>
          <w:szCs w:val="24"/>
        </w:rPr>
        <w:t>及测量设备量值溯源完成情况。</w:t>
      </w:r>
      <w:r>
        <w:rPr>
          <w:rFonts w:hint="eastAsia" w:asciiTheme="minorEastAsia" w:hAnsiTheme="minorEastAsia" w:cstheme="minorEastAsia"/>
          <w:bCs/>
          <w:color w:val="000000" w:themeColor="text1"/>
          <w:kern w:val="0"/>
          <w:sz w:val="24"/>
          <w:szCs w:val="24"/>
          <w:lang w:val="en-US" w:eastAsia="zh-CN"/>
        </w:rPr>
        <w:t>企业未建立最高计量标准，测量设备均送到有资质的检定/校准机构检定/校准。控制的抽查：抽查不确定度评定、监视与统计、有效性确认、控制图等方法正确。测量方法、环境条件、人员操作技能受控，满足要求。</w:t>
      </w:r>
      <w:r>
        <w:rPr>
          <w:rFonts w:hint="eastAsia" w:asciiTheme="minorEastAsia" w:hAnsiTheme="minorEastAsia" w:eastAsiaTheme="minorEastAsia" w:cstheme="minorEastAsia"/>
          <w:bCs/>
          <w:color w:val="000000" w:themeColor="text1"/>
          <w:kern w:val="0"/>
          <w:sz w:val="24"/>
          <w:szCs w:val="24"/>
        </w:rPr>
        <w:t>公司领导层重视测量管理体系各项工作，配备完善了相关资源和</w:t>
      </w:r>
      <w:r>
        <w:rPr>
          <w:rFonts w:hint="eastAsia" w:asciiTheme="minorEastAsia" w:hAnsiTheme="minorEastAsia" w:eastAsiaTheme="minorEastAsia" w:cstheme="minorEastAsia"/>
          <w:bCs/>
          <w:color w:val="000000" w:themeColor="text1"/>
          <w:kern w:val="0"/>
          <w:sz w:val="24"/>
          <w:szCs w:val="24"/>
          <w:lang w:val="en-US" w:eastAsia="zh-CN"/>
        </w:rPr>
        <w:t>设</w:t>
      </w:r>
      <w:r>
        <w:rPr>
          <w:rFonts w:hint="eastAsia" w:asciiTheme="minorEastAsia" w:hAnsiTheme="minorEastAsia" w:eastAsiaTheme="minorEastAsia" w:cstheme="minorEastAsia"/>
          <w:bCs/>
          <w:color w:val="000000" w:themeColor="text1"/>
          <w:kern w:val="0"/>
          <w:sz w:val="24"/>
          <w:szCs w:val="24"/>
        </w:rPr>
        <w:t>备，</w:t>
      </w:r>
      <w:r>
        <w:rPr>
          <w:rFonts w:hint="eastAsia" w:ascii="宋体" w:hAnsi="宋体"/>
          <w:bCs/>
          <w:color w:val="000000" w:themeColor="text1"/>
          <w:sz w:val="24"/>
          <w:szCs w:val="24"/>
        </w:rPr>
        <w:t>公司</w:t>
      </w:r>
      <w:r>
        <w:rPr>
          <w:rFonts w:hint="eastAsia" w:ascii="宋体" w:hAnsi="宋体"/>
          <w:bCs/>
          <w:color w:val="000000" w:themeColor="text1"/>
          <w:sz w:val="24"/>
          <w:szCs w:val="24"/>
          <w:lang w:val="en-US" w:eastAsia="zh-CN"/>
        </w:rPr>
        <w:t>制定了5项测量体系质量目标</w:t>
      </w:r>
      <w:r>
        <w:rPr>
          <w:rFonts w:hint="eastAsia" w:ascii="宋体" w:hAnsi="宋体"/>
          <w:bCs/>
          <w:color w:val="000000" w:themeColor="text1"/>
          <w:sz w:val="24"/>
          <w:szCs w:val="24"/>
        </w:rPr>
        <w:t>有具体指标可测量</w:t>
      </w:r>
      <w:r>
        <w:rPr>
          <w:rFonts w:hint="eastAsia" w:ascii="宋体" w:hAnsi="宋体"/>
          <w:bCs/>
          <w:color w:val="000000" w:themeColor="text1"/>
          <w:sz w:val="24"/>
          <w:szCs w:val="24"/>
          <w:lang w:eastAsia="zh-CN"/>
        </w:rPr>
        <w:t>，</w:t>
      </w:r>
      <w:r>
        <w:rPr>
          <w:rFonts w:hint="eastAsia" w:ascii="宋体" w:hAnsi="宋体"/>
          <w:bCs/>
          <w:color w:val="000000" w:themeColor="text1"/>
          <w:sz w:val="24"/>
          <w:szCs w:val="24"/>
          <w:lang w:val="en-US" w:eastAsia="zh-CN"/>
        </w:rPr>
        <w:t>经统计2019年质量目标都已完成。</w:t>
      </w:r>
      <w:r>
        <w:rPr>
          <w:rFonts w:cs="宋体" w:asciiTheme="minorEastAsia" w:hAnsiTheme="minorEastAsia"/>
          <w:color w:val="000000" w:themeColor="text1"/>
          <w:kern w:val="0"/>
          <w:sz w:val="24"/>
          <w:szCs w:val="24"/>
        </w:rPr>
        <w:t>温州福鑫仪表有限公司</w:t>
      </w:r>
      <w:r>
        <w:rPr>
          <w:rFonts w:hint="eastAsia" w:asciiTheme="majorEastAsia" w:hAnsiTheme="majorEastAsia" w:eastAsiaTheme="majorEastAsia" w:cstheme="majorEastAsia"/>
          <w:color w:val="000000" w:themeColor="text1"/>
          <w:sz w:val="24"/>
          <w:szCs w:val="24"/>
          <w:highlight w:val="none"/>
        </w:rPr>
        <w:t>测量管理体系的符合性、有效性及持续改进，符合GB/T 19022-2003标准要求，公司测量管理体系正常有序运行，较好地满足了公司</w:t>
      </w:r>
      <w:r>
        <w:rPr>
          <w:rFonts w:hint="eastAsia" w:asciiTheme="majorEastAsia" w:hAnsiTheme="majorEastAsia" w:eastAsiaTheme="majorEastAsia" w:cstheme="majorEastAsia"/>
          <w:color w:val="000000" w:themeColor="text1"/>
          <w:sz w:val="24"/>
          <w:szCs w:val="24"/>
          <w:highlight w:val="none"/>
          <w:lang w:val="en-US" w:eastAsia="zh-CN"/>
        </w:rPr>
        <w:t>可</w:t>
      </w:r>
      <w:r>
        <w:rPr>
          <w:rFonts w:hint="eastAsia" w:asciiTheme="majorEastAsia" w:hAnsiTheme="majorEastAsia" w:eastAsiaTheme="majorEastAsia" w:cstheme="majorEastAsia"/>
          <w:color w:val="000000" w:themeColor="text1"/>
          <w:sz w:val="24"/>
          <w:szCs w:val="24"/>
          <w:highlight w:val="none"/>
        </w:rPr>
        <w:t>持续发</w:t>
      </w:r>
      <w:r>
        <w:rPr>
          <w:rFonts w:hint="eastAsia" w:asciiTheme="majorEastAsia" w:hAnsiTheme="majorEastAsia" w:eastAsiaTheme="majorEastAsia" w:cstheme="majorEastAsia"/>
          <w:color w:val="auto"/>
          <w:sz w:val="24"/>
          <w:szCs w:val="24"/>
          <w:highlight w:val="none"/>
        </w:rPr>
        <w:t>展的需要。企业效益逐年</w:t>
      </w:r>
      <w:r>
        <w:rPr>
          <w:rFonts w:hint="eastAsia" w:asciiTheme="majorEastAsia" w:hAnsiTheme="majorEastAsia" w:eastAsiaTheme="majorEastAsia" w:cstheme="majorEastAsia"/>
          <w:color w:val="auto"/>
          <w:sz w:val="24"/>
          <w:szCs w:val="24"/>
          <w:highlight w:val="none"/>
          <w:lang w:val="en-US" w:eastAsia="zh-CN"/>
        </w:rPr>
        <w:t>提高</w:t>
      </w:r>
      <w:r>
        <w:rPr>
          <w:rFonts w:hint="eastAsia" w:asciiTheme="majorEastAsia" w:hAnsiTheme="majorEastAsia" w:eastAsiaTheme="majorEastAsia" w:cstheme="majorEastAsia"/>
          <w:color w:val="auto"/>
          <w:sz w:val="24"/>
          <w:szCs w:val="24"/>
          <w:highlight w:val="none"/>
        </w:rPr>
        <w:t>。</w:t>
      </w:r>
    </w:p>
    <w:p>
      <w:pPr>
        <w:spacing w:line="360" w:lineRule="auto"/>
        <w:ind w:right="-512" w:rightChars="-244"/>
        <w:rPr>
          <w:rFonts w:asciiTheme="majorEastAsia" w:hAnsiTheme="majorEastAsia" w:eastAsiaTheme="majorEastAsia" w:cstheme="majorEastAsia"/>
          <w:color w:val="auto"/>
          <w:sz w:val="24"/>
          <w:szCs w:val="24"/>
        </w:rPr>
      </w:pPr>
      <w:r>
        <w:rPr>
          <w:rFonts w:hint="eastAsia" w:asciiTheme="minorEastAsia" w:hAnsiTheme="minorEastAsia"/>
          <w:bCs/>
          <w:color w:val="auto"/>
          <w:sz w:val="24"/>
          <w:szCs w:val="24"/>
        </w:rPr>
        <w:t>3.内部审核和管理评审</w:t>
      </w:r>
      <w:r>
        <w:rPr>
          <w:rFonts w:cs="宋体" w:asciiTheme="minorEastAsia" w:hAnsiTheme="minorEastAsia"/>
          <w:bCs/>
          <w:color w:val="auto"/>
          <w:kern w:val="0"/>
          <w:sz w:val="24"/>
          <w:szCs w:val="24"/>
        </w:rPr>
        <w:t>的情况：</w:t>
      </w:r>
    </w:p>
    <w:p>
      <w:pPr>
        <w:widowControl/>
        <w:spacing w:line="360" w:lineRule="auto"/>
        <w:rPr>
          <w:rFonts w:hint="eastAsia" w:cs="宋体" w:asciiTheme="minorEastAsia" w:hAnsiTheme="minorEastAsia"/>
          <w:bCs/>
          <w:color w:val="auto"/>
          <w:kern w:val="0"/>
          <w:sz w:val="24"/>
          <w:szCs w:val="24"/>
        </w:rPr>
      </w:pPr>
    </w:p>
    <w:p>
      <w:pPr>
        <w:widowControl/>
        <w:spacing w:line="360" w:lineRule="auto"/>
        <w:rPr>
          <w:rFonts w:ascii="宋体" w:hAnsi="宋体"/>
          <w:color w:val="auto"/>
          <w:sz w:val="24"/>
          <w:szCs w:val="24"/>
        </w:rPr>
      </w:pPr>
      <w:r>
        <w:rPr>
          <w:rFonts w:hint="eastAsia" w:cs="宋体" w:asciiTheme="minorEastAsia" w:hAnsiTheme="minorEastAsia"/>
          <w:bCs/>
          <w:color w:val="auto"/>
          <w:kern w:val="0"/>
          <w:sz w:val="24"/>
          <w:szCs w:val="24"/>
        </w:rPr>
        <w:t>3.1</w:t>
      </w:r>
      <w:r>
        <w:rPr>
          <w:rFonts w:hint="eastAsia" w:ascii="宋体" w:hAnsi="宋体"/>
          <w:color w:val="auto"/>
          <w:sz w:val="24"/>
          <w:szCs w:val="24"/>
        </w:rPr>
        <w:t>公司的测量体系内审：</w:t>
      </w:r>
    </w:p>
    <w:p>
      <w:pPr>
        <w:widowControl/>
        <w:spacing w:line="360" w:lineRule="auto"/>
        <w:ind w:firstLine="480" w:firstLineChars="200"/>
        <w:jc w:val="left"/>
        <w:rPr>
          <w:rFonts w:hint="eastAsia"/>
          <w:color w:val="auto"/>
          <w:sz w:val="24"/>
          <w:szCs w:val="24"/>
          <w:lang w:val="en-US" w:eastAsia="zh-CN"/>
        </w:rPr>
      </w:pPr>
      <w:r>
        <w:rPr>
          <w:rFonts w:hint="eastAsia" w:ascii="宋体" w:hAnsi="宋体" w:cs="宋体"/>
          <w:bCs/>
          <w:color w:val="auto"/>
          <w:kern w:val="0"/>
          <w:sz w:val="24"/>
          <w:szCs w:val="24"/>
        </w:rPr>
        <w:t>为了充分验证公司测量管理体系运行的符合性、有效性及持续改进，于20</w:t>
      </w:r>
      <w:r>
        <w:rPr>
          <w:rFonts w:hint="eastAsia" w:ascii="宋体" w:hAnsi="宋体" w:cs="宋体"/>
          <w:bCs/>
          <w:color w:val="auto"/>
          <w:kern w:val="0"/>
          <w:sz w:val="24"/>
          <w:szCs w:val="24"/>
          <w:lang w:val="en-US" w:eastAsia="zh-CN"/>
        </w:rPr>
        <w:t>20</w:t>
      </w:r>
      <w:r>
        <w:rPr>
          <w:rFonts w:hint="eastAsia" w:ascii="宋体" w:hAnsi="宋体" w:cs="宋体"/>
          <w:bCs/>
          <w:color w:val="auto"/>
          <w:kern w:val="0"/>
          <w:sz w:val="24"/>
          <w:szCs w:val="24"/>
        </w:rPr>
        <w:t>年</w:t>
      </w:r>
      <w:r>
        <w:rPr>
          <w:rFonts w:hint="eastAsia" w:ascii="宋体" w:hAnsi="宋体" w:cs="宋体"/>
          <w:bCs/>
          <w:color w:val="auto"/>
          <w:kern w:val="0"/>
          <w:sz w:val="24"/>
          <w:szCs w:val="24"/>
          <w:lang w:val="en-US" w:eastAsia="zh-CN"/>
        </w:rPr>
        <w:t>7</w:t>
      </w:r>
      <w:r>
        <w:rPr>
          <w:rFonts w:hint="eastAsia" w:ascii="宋体" w:hAnsi="宋体" w:cs="宋体"/>
          <w:bCs/>
          <w:color w:val="auto"/>
          <w:kern w:val="0"/>
          <w:sz w:val="24"/>
          <w:szCs w:val="24"/>
        </w:rPr>
        <w:t>月</w:t>
      </w:r>
      <w:r>
        <w:rPr>
          <w:rFonts w:hint="eastAsia" w:ascii="宋体" w:hAnsi="宋体" w:cs="宋体"/>
          <w:bCs/>
          <w:color w:val="auto"/>
          <w:kern w:val="0"/>
          <w:sz w:val="24"/>
          <w:szCs w:val="24"/>
          <w:lang w:val="en-US" w:eastAsia="zh-CN"/>
        </w:rPr>
        <w:t>2日</w:t>
      </w:r>
      <w:r>
        <w:rPr>
          <w:rFonts w:hint="eastAsia" w:ascii="宋体" w:hAnsi="宋体" w:cs="宋体"/>
          <w:bCs/>
          <w:color w:val="auto"/>
          <w:kern w:val="0"/>
          <w:sz w:val="24"/>
          <w:szCs w:val="24"/>
        </w:rPr>
        <w:t>，公司进行了年度测量管理体系</w:t>
      </w:r>
      <w:r>
        <w:rPr>
          <w:rFonts w:hint="eastAsia" w:ascii="宋体" w:hAnsi="宋体"/>
          <w:bCs/>
          <w:color w:val="auto"/>
          <w:sz w:val="24"/>
          <w:szCs w:val="24"/>
        </w:rPr>
        <w:t>内部审核工作</w:t>
      </w:r>
      <w:r>
        <w:rPr>
          <w:rFonts w:hint="eastAsia"/>
          <w:color w:val="auto"/>
          <w:sz w:val="24"/>
          <w:szCs w:val="24"/>
        </w:rPr>
        <w:t>。</w:t>
      </w:r>
      <w:r>
        <w:rPr>
          <w:rStyle w:val="9"/>
          <w:rFonts w:hint="eastAsia" w:ascii="宋体" w:eastAsia="宋体"/>
          <w:color w:val="auto"/>
          <w:sz w:val="24"/>
          <w:szCs w:val="24"/>
        </w:rPr>
        <w:t>按GB/T 19022-2003标准的要素要求，分</w:t>
      </w:r>
      <w:r>
        <w:rPr>
          <w:rStyle w:val="9"/>
          <w:rFonts w:hint="eastAsia" w:ascii="宋体" w:eastAsia="宋体"/>
          <w:color w:val="auto"/>
          <w:sz w:val="24"/>
          <w:szCs w:val="24"/>
          <w:lang w:val="en-US" w:eastAsia="zh-CN"/>
        </w:rPr>
        <w:t>1</w:t>
      </w:r>
      <w:r>
        <w:rPr>
          <w:rStyle w:val="9"/>
          <w:rFonts w:hint="eastAsia" w:ascii="宋体" w:eastAsia="宋体"/>
          <w:color w:val="auto"/>
          <w:sz w:val="24"/>
          <w:szCs w:val="24"/>
        </w:rPr>
        <w:t>个组对公司</w:t>
      </w:r>
      <w:r>
        <w:rPr>
          <w:rStyle w:val="9"/>
          <w:rFonts w:hint="eastAsia" w:ascii="宋体" w:eastAsia="宋体"/>
          <w:color w:val="auto"/>
          <w:sz w:val="24"/>
          <w:szCs w:val="24"/>
          <w:lang w:val="en-US" w:eastAsia="zh-CN"/>
        </w:rPr>
        <w:t>5</w:t>
      </w:r>
      <w:r>
        <w:rPr>
          <w:rStyle w:val="9"/>
          <w:rFonts w:hint="eastAsia" w:ascii="宋体" w:eastAsia="宋体"/>
          <w:color w:val="auto"/>
          <w:sz w:val="24"/>
          <w:szCs w:val="24"/>
        </w:rPr>
        <w:t>个职能部门和</w:t>
      </w:r>
      <w:r>
        <w:rPr>
          <w:rStyle w:val="9"/>
          <w:rFonts w:hint="eastAsia" w:ascii="宋体" w:eastAsia="宋体"/>
          <w:color w:val="auto"/>
          <w:sz w:val="24"/>
          <w:szCs w:val="24"/>
          <w:lang w:val="en-US" w:eastAsia="zh-CN"/>
        </w:rPr>
        <w:t>车间</w:t>
      </w:r>
      <w:r>
        <w:rPr>
          <w:rStyle w:val="9"/>
          <w:rFonts w:hint="eastAsia" w:ascii="宋体" w:eastAsia="宋体"/>
          <w:color w:val="auto"/>
          <w:sz w:val="24"/>
          <w:szCs w:val="24"/>
        </w:rPr>
        <w:t>进行了审核。</w:t>
      </w:r>
      <w:r>
        <w:rPr>
          <w:rStyle w:val="9"/>
          <w:rFonts w:hint="eastAsia" w:ascii="宋体" w:eastAsia="宋体"/>
          <w:color w:val="auto"/>
          <w:sz w:val="24"/>
          <w:szCs w:val="24"/>
          <w:lang w:val="en-US" w:eastAsia="zh-CN"/>
        </w:rPr>
        <w:t>本次</w:t>
      </w:r>
      <w:r>
        <w:rPr>
          <w:rFonts w:hint="eastAsia"/>
          <w:color w:val="auto"/>
          <w:sz w:val="24"/>
          <w:szCs w:val="24"/>
        </w:rPr>
        <w:t>审核</w:t>
      </w:r>
      <w:r>
        <w:rPr>
          <w:rFonts w:hint="eastAsia"/>
          <w:color w:val="auto"/>
          <w:sz w:val="24"/>
          <w:szCs w:val="24"/>
          <w:lang w:val="en-US" w:eastAsia="zh-CN"/>
        </w:rPr>
        <w:t>发现1个不符合项，目前已整改完成。</w:t>
      </w:r>
    </w:p>
    <w:p>
      <w:pPr>
        <w:widowControl/>
        <w:spacing w:line="360" w:lineRule="auto"/>
        <w:jc w:val="left"/>
        <w:rPr>
          <w:rFonts w:hint="eastAsia" w:ascii="宋体" w:hAnsi="宋体" w:cs="宋体"/>
          <w:bCs/>
          <w:color w:val="auto"/>
          <w:kern w:val="0"/>
          <w:sz w:val="24"/>
          <w:szCs w:val="24"/>
        </w:rPr>
      </w:pPr>
      <w:r>
        <w:rPr>
          <w:rFonts w:hint="eastAsia" w:ascii="宋体" w:hAnsi="宋体"/>
          <w:color w:val="auto"/>
          <w:sz w:val="24"/>
          <w:szCs w:val="24"/>
        </w:rPr>
        <w:t>3.</w:t>
      </w:r>
      <w:r>
        <w:rPr>
          <w:rFonts w:hint="eastAsia" w:ascii="宋体" w:hAnsi="宋体" w:cs="宋体"/>
          <w:bCs/>
          <w:color w:val="auto"/>
          <w:kern w:val="0"/>
          <w:sz w:val="24"/>
          <w:szCs w:val="24"/>
        </w:rPr>
        <w:t>2公司的测量体系管理评审：</w:t>
      </w:r>
    </w:p>
    <w:p>
      <w:pPr>
        <w:widowControl/>
        <w:spacing w:line="360" w:lineRule="auto"/>
        <w:ind w:firstLine="480" w:firstLineChars="200"/>
        <w:jc w:val="left"/>
        <w:rPr>
          <w:rFonts w:hint="eastAsia" w:ascii="宋体" w:hAnsi="宋体" w:cs="宋体"/>
          <w:bCs/>
          <w:color w:val="auto"/>
          <w:kern w:val="0"/>
          <w:sz w:val="24"/>
          <w:szCs w:val="24"/>
        </w:rPr>
      </w:pPr>
      <w:r>
        <w:rPr>
          <w:rFonts w:hint="eastAsia" w:ascii="宋体" w:hAnsi="宋体" w:cs="宋体"/>
          <w:bCs/>
          <w:color w:val="auto"/>
          <w:kern w:val="0"/>
          <w:sz w:val="24"/>
          <w:szCs w:val="24"/>
        </w:rPr>
        <w:t>公司领导层为了系统的了解和自我评价公司测量管理体系一年内运行情况，在测量管理体系内部审核结束后，由</w:t>
      </w:r>
      <w:r>
        <w:rPr>
          <w:rFonts w:hint="eastAsia" w:ascii="宋体" w:hAnsi="宋体" w:cs="宋体"/>
          <w:bCs/>
          <w:color w:val="auto"/>
          <w:kern w:val="0"/>
          <w:sz w:val="24"/>
          <w:szCs w:val="24"/>
          <w:lang w:val="en-US" w:eastAsia="zh-CN"/>
        </w:rPr>
        <w:t>办公室</w:t>
      </w:r>
      <w:r>
        <w:rPr>
          <w:rFonts w:hint="eastAsia" w:ascii="宋体" w:hAnsi="宋体" w:cs="宋体"/>
          <w:bCs/>
          <w:color w:val="auto"/>
          <w:kern w:val="0"/>
          <w:sz w:val="24"/>
          <w:szCs w:val="24"/>
        </w:rPr>
        <w:t>牵头组织，策划制定了管理评审计划并实施。20</w:t>
      </w:r>
      <w:r>
        <w:rPr>
          <w:rFonts w:hint="eastAsia" w:ascii="宋体" w:hAnsi="宋体" w:cs="宋体"/>
          <w:bCs/>
          <w:color w:val="auto"/>
          <w:kern w:val="0"/>
          <w:sz w:val="24"/>
          <w:szCs w:val="24"/>
          <w:lang w:val="en-US" w:eastAsia="zh-CN"/>
        </w:rPr>
        <w:t>20</w:t>
      </w:r>
      <w:r>
        <w:rPr>
          <w:rFonts w:hint="eastAsia" w:ascii="宋体" w:hAnsi="宋体" w:cs="宋体"/>
          <w:bCs/>
          <w:color w:val="auto"/>
          <w:kern w:val="0"/>
          <w:sz w:val="24"/>
          <w:szCs w:val="24"/>
        </w:rPr>
        <w:t>年</w:t>
      </w:r>
      <w:r>
        <w:rPr>
          <w:rFonts w:hint="eastAsia" w:ascii="宋体" w:hAnsi="宋体" w:cs="宋体"/>
          <w:bCs/>
          <w:color w:val="auto"/>
          <w:kern w:val="0"/>
          <w:sz w:val="24"/>
          <w:szCs w:val="24"/>
          <w:lang w:val="en-US" w:eastAsia="zh-CN"/>
        </w:rPr>
        <w:t>7</w:t>
      </w:r>
      <w:r>
        <w:rPr>
          <w:rFonts w:hint="eastAsia" w:ascii="宋体" w:hAnsi="宋体" w:cs="宋体"/>
          <w:bCs/>
          <w:color w:val="auto"/>
          <w:kern w:val="0"/>
          <w:sz w:val="24"/>
          <w:szCs w:val="24"/>
        </w:rPr>
        <w:t>月</w:t>
      </w:r>
      <w:r>
        <w:rPr>
          <w:rFonts w:hint="eastAsia" w:ascii="宋体" w:hAnsi="宋体" w:cs="宋体"/>
          <w:bCs/>
          <w:color w:val="auto"/>
          <w:kern w:val="0"/>
          <w:sz w:val="24"/>
          <w:szCs w:val="24"/>
          <w:lang w:val="en-US" w:eastAsia="zh-CN"/>
        </w:rPr>
        <w:t>10</w:t>
      </w:r>
      <w:r>
        <w:rPr>
          <w:rFonts w:hint="eastAsia" w:ascii="宋体" w:hAnsi="宋体" w:cs="宋体"/>
          <w:bCs/>
          <w:color w:val="auto"/>
          <w:kern w:val="0"/>
          <w:sz w:val="24"/>
          <w:szCs w:val="24"/>
        </w:rPr>
        <w:t>日，由总经理</w:t>
      </w:r>
      <w:r>
        <w:rPr>
          <w:rFonts w:hint="eastAsia" w:ascii="宋体" w:hAnsi="宋体" w:cs="宋体"/>
          <w:bCs/>
          <w:color w:val="auto"/>
          <w:kern w:val="0"/>
          <w:sz w:val="24"/>
          <w:szCs w:val="24"/>
          <w:lang w:val="en-US" w:eastAsia="zh-CN"/>
        </w:rPr>
        <w:t>夏成松</w:t>
      </w:r>
      <w:r>
        <w:rPr>
          <w:rFonts w:hint="eastAsia" w:ascii="宋体" w:hAnsi="宋体" w:cs="宋体"/>
          <w:bCs/>
          <w:color w:val="auto"/>
          <w:kern w:val="0"/>
          <w:sz w:val="24"/>
          <w:szCs w:val="24"/>
        </w:rPr>
        <w:t>主持，公司召集测量管理体系职能部门和相关部门领导参加的评审会议。编制了评审报告。管理评审结论为：公司测量管理体系有效运行，符</w:t>
      </w:r>
      <w:r>
        <w:rPr>
          <w:rFonts w:hint="eastAsia" w:ascii="宋体" w:hAnsi="宋体" w:cs="宋体"/>
          <w:bCs/>
          <w:color w:val="auto"/>
          <w:kern w:val="0"/>
          <w:sz w:val="24"/>
          <w:szCs w:val="24"/>
          <w:lang w:val="en-US" w:eastAsia="zh-CN"/>
        </w:rPr>
        <w:t>合</w:t>
      </w:r>
      <w:r>
        <w:rPr>
          <w:rFonts w:hint="eastAsia" w:ascii="宋体" w:hAnsi="宋体" w:cs="宋体"/>
          <w:bCs/>
          <w:color w:val="auto"/>
          <w:kern w:val="0"/>
          <w:sz w:val="24"/>
          <w:szCs w:val="24"/>
        </w:rPr>
        <w:t>GB/T19022-2003标准要求。体系运行是有效的、适宜的。</w:t>
      </w:r>
    </w:p>
    <w:p>
      <w:pPr>
        <w:jc w:val="both"/>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4、为持续改进而策划的活动的进展 </w:t>
      </w:r>
    </w:p>
    <w:p>
      <w:pPr>
        <w:widowControl/>
        <w:spacing w:line="360" w:lineRule="auto"/>
        <w:ind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企业</w:t>
      </w:r>
      <w:r>
        <w:rPr>
          <w:rFonts w:hint="eastAsia" w:ascii="宋体" w:hAnsi="宋体" w:cs="宋体"/>
          <w:bCs/>
          <w:color w:val="auto"/>
          <w:kern w:val="0"/>
          <w:sz w:val="24"/>
          <w:szCs w:val="24"/>
          <w:highlight w:val="none"/>
          <w:lang w:val="en-US" w:eastAsia="zh-CN"/>
        </w:rPr>
        <w:t>流量测控装置测量误差检验</w:t>
      </w:r>
      <w:r>
        <w:rPr>
          <w:rFonts w:hint="eastAsia" w:ascii="宋体" w:hAnsi="宋体" w:cs="宋体"/>
          <w:bCs/>
          <w:color w:val="auto"/>
          <w:kern w:val="0"/>
          <w:sz w:val="24"/>
          <w:szCs w:val="24"/>
          <w:highlight w:val="none"/>
        </w:rPr>
        <w:t>测量过程为关键测量过程，测量过程识别、测量设备配备、检定、验证，测量过程有效性确认，测量不确定度评定、测量过程控制和监视满足要求。</w:t>
      </w:r>
    </w:p>
    <w:p>
      <w:pPr>
        <w:widowControl/>
        <w:spacing w:line="360" w:lineRule="auto"/>
        <w:jc w:val="left"/>
        <w:rPr>
          <w:rFonts w:hint="eastAsia" w:asciiTheme="majorEastAsia" w:hAnsiTheme="majorEastAsia" w:eastAsiaTheme="majorEastAsia" w:cstheme="majorEastAsia"/>
          <w:bCs/>
          <w:color w:val="auto"/>
          <w:sz w:val="24"/>
          <w:szCs w:val="24"/>
          <w:highlight w:val="none"/>
        </w:rPr>
      </w:pP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rPr>
        <w:t>对上次审核中确定的不符合采取</w:t>
      </w:r>
      <w:r>
        <w:rPr>
          <w:rFonts w:hint="eastAsia" w:asciiTheme="majorEastAsia" w:hAnsiTheme="majorEastAsia" w:eastAsiaTheme="majorEastAsia" w:cstheme="majorEastAsia"/>
          <w:bCs/>
          <w:color w:val="auto"/>
          <w:sz w:val="24"/>
          <w:szCs w:val="24"/>
          <w:highlight w:val="none"/>
        </w:rPr>
        <w:t>措施的情况：</w:t>
      </w:r>
    </w:p>
    <w:p>
      <w:pPr>
        <w:widowControl/>
        <w:spacing w:line="360" w:lineRule="auto"/>
        <w:rPr>
          <w:rFonts w:hint="eastAsia" w:ascii="宋体" w:hAnsi="宋体" w:cs="宋体"/>
          <w:bCs/>
          <w:color w:val="auto"/>
          <w:kern w:val="0"/>
          <w:sz w:val="24"/>
          <w:szCs w:val="24"/>
          <w:highlight w:val="none"/>
        </w:rPr>
      </w:pPr>
      <w:r>
        <w:rPr>
          <w:rFonts w:hint="eastAsia" w:asciiTheme="majorEastAsia" w:hAnsiTheme="majorEastAsia" w:eastAsiaTheme="majorEastAsia" w:cstheme="majorEastAsia"/>
          <w:bCs/>
          <w:color w:val="auto"/>
          <w:sz w:val="24"/>
          <w:szCs w:val="24"/>
          <w:highlight w:val="none"/>
        </w:rPr>
        <w:t>去</w:t>
      </w:r>
      <w:r>
        <w:rPr>
          <w:rFonts w:hint="eastAsia" w:ascii="宋体" w:hAnsi="宋体" w:cs="宋体"/>
          <w:bCs/>
          <w:color w:val="auto"/>
          <w:kern w:val="0"/>
          <w:sz w:val="24"/>
          <w:szCs w:val="24"/>
          <w:highlight w:val="none"/>
        </w:rPr>
        <w:t>年审核发现</w:t>
      </w:r>
      <w:r>
        <w:rPr>
          <w:rFonts w:hint="eastAsia" w:ascii="宋体" w:hAnsi="宋体" w:cs="宋体"/>
          <w:bCs/>
          <w:color w:val="auto"/>
          <w:kern w:val="0"/>
          <w:sz w:val="24"/>
          <w:szCs w:val="24"/>
          <w:highlight w:val="none"/>
          <w:lang w:val="en-US" w:eastAsia="zh-CN"/>
        </w:rPr>
        <w:t>3个</w:t>
      </w:r>
      <w:r>
        <w:rPr>
          <w:rFonts w:hint="eastAsia" w:ascii="宋体" w:hAnsi="宋体" w:cs="宋体"/>
          <w:bCs/>
          <w:color w:val="auto"/>
          <w:kern w:val="0"/>
          <w:sz w:val="24"/>
          <w:szCs w:val="24"/>
          <w:highlight w:val="none"/>
        </w:rPr>
        <w:t>不符合项。</w:t>
      </w:r>
      <w:r>
        <w:rPr>
          <w:rFonts w:hint="eastAsia" w:ascii="宋体" w:hAnsi="宋体" w:cs="宋体"/>
          <w:bCs/>
          <w:color w:val="auto"/>
          <w:kern w:val="0"/>
          <w:sz w:val="24"/>
          <w:szCs w:val="24"/>
          <w:highlight w:val="none"/>
          <w:lang w:val="en-US" w:eastAsia="zh-CN"/>
        </w:rPr>
        <w:t>企业</w:t>
      </w:r>
      <w:r>
        <w:rPr>
          <w:rFonts w:hint="eastAsia" w:ascii="宋体" w:hAnsi="宋体" w:cs="宋体"/>
          <w:bCs/>
          <w:color w:val="auto"/>
          <w:kern w:val="0"/>
          <w:sz w:val="24"/>
          <w:szCs w:val="24"/>
          <w:highlight w:val="none"/>
        </w:rPr>
        <w:t>及时制定整改计划，采取了如下纠正措施：</w:t>
      </w:r>
    </w:p>
    <w:p>
      <w:pPr>
        <w:widowControl/>
        <w:spacing w:line="360" w:lineRule="auto"/>
        <w:ind w:firstLine="480" w:firstLineChars="200"/>
        <w:jc w:val="left"/>
        <w:rPr>
          <w:rFonts w:ascii="宋体" w:cs="宋体"/>
          <w:color w:val="auto"/>
          <w:kern w:val="0"/>
          <w:sz w:val="24"/>
          <w:szCs w:val="24"/>
        </w:rPr>
      </w:pPr>
      <w:r>
        <w:rPr>
          <w:rFonts w:hint="eastAsia" w:ascii="宋体" w:hAnsi="宋体"/>
          <w:color w:val="auto"/>
          <w:sz w:val="24"/>
          <w:szCs w:val="24"/>
          <w:lang w:val="en-US" w:eastAsia="zh-CN"/>
        </w:rPr>
        <w:t>1、查：质检科未能提供对瑞安市计量测试检定所外部服务方识别、有效性评价记录。</w:t>
      </w:r>
    </w:p>
    <w:p>
      <w:pPr>
        <w:widowControl/>
        <w:numPr>
          <w:ilvl w:val="0"/>
          <w:numId w:val="0"/>
        </w:numPr>
        <w:spacing w:line="360" w:lineRule="auto"/>
        <w:ind w:firstLine="480" w:firstLineChars="200"/>
        <w:rPr>
          <w:rFonts w:hint="eastAsia" w:ascii="宋体" w:hAnsi="宋体" w:cs="宋体"/>
          <w:bCs/>
          <w:color w:val="auto"/>
          <w:kern w:val="0"/>
          <w:sz w:val="24"/>
          <w:szCs w:val="24"/>
          <w:highlight w:val="none"/>
        </w:rPr>
      </w:pPr>
      <w:r>
        <w:rPr>
          <w:rFonts w:hint="eastAsia" w:ascii="宋体" w:hAnsi="宋体"/>
          <w:color w:val="auto"/>
          <w:sz w:val="24"/>
          <w:szCs w:val="24"/>
          <w:lang w:val="en-US" w:eastAsia="zh-CN"/>
        </w:rPr>
        <w:t>不符合GB/T10012标准6.4外部供方。</w:t>
      </w:r>
      <w:r>
        <w:rPr>
          <w:rFonts w:hint="eastAsia" w:ascii="宋体" w:hAnsi="宋体" w:cs="宋体"/>
          <w:bCs/>
          <w:color w:val="auto"/>
          <w:kern w:val="0"/>
          <w:sz w:val="24"/>
          <w:szCs w:val="24"/>
          <w:highlight w:val="none"/>
          <w:lang w:val="en-US" w:eastAsia="zh-CN"/>
        </w:rPr>
        <w:t xml:space="preserve">   </w:t>
      </w:r>
    </w:p>
    <w:p>
      <w:pPr>
        <w:widowControl/>
        <w:spacing w:line="360" w:lineRule="auto"/>
        <w:ind w:firstLine="480"/>
        <w:rPr>
          <w:rFonts w:hint="eastAsia" w:ascii="宋体" w:hAnsi="宋体"/>
          <w:color w:val="auto"/>
          <w:sz w:val="24"/>
          <w:szCs w:val="24"/>
          <w:lang w:val="en-US" w:eastAsia="zh-CN"/>
        </w:rPr>
      </w:pPr>
      <w:r>
        <w:rPr>
          <w:rFonts w:hint="eastAsia" w:ascii="宋体" w:hAnsi="宋体" w:cs="宋体"/>
          <w:color w:val="auto"/>
          <w:kern w:val="0"/>
          <w:sz w:val="24"/>
          <w:szCs w:val="24"/>
          <w:highlight w:val="none"/>
          <w:lang w:val="en-US" w:eastAsia="zh-CN"/>
        </w:rPr>
        <w:t>企业已对</w:t>
      </w:r>
      <w:r>
        <w:rPr>
          <w:rFonts w:hint="eastAsia" w:ascii="宋体" w:hAnsi="宋体"/>
          <w:color w:val="auto"/>
          <w:sz w:val="24"/>
          <w:szCs w:val="24"/>
          <w:lang w:val="en-US" w:eastAsia="zh-CN"/>
        </w:rPr>
        <w:t>瑞安市计量测试检定所进行了评价，并列入合格供方清单。</w:t>
      </w:r>
    </w:p>
    <w:p>
      <w:pPr>
        <w:widowControl/>
        <w:spacing w:line="360" w:lineRule="auto"/>
        <w:ind w:firstLine="480" w:firstLineChars="200"/>
        <w:jc w:val="left"/>
        <w:rPr>
          <w:rFonts w:ascii="宋体" w:cs="宋体"/>
          <w:color w:val="auto"/>
          <w:kern w:val="0"/>
          <w:sz w:val="24"/>
          <w:szCs w:val="24"/>
        </w:rPr>
      </w:pPr>
      <w:r>
        <w:rPr>
          <w:rFonts w:hint="eastAsia" w:ascii="宋体" w:hAnsi="宋体"/>
          <w:color w:val="auto"/>
          <w:sz w:val="24"/>
          <w:szCs w:val="24"/>
          <w:lang w:val="en-US" w:eastAsia="zh-CN"/>
        </w:rPr>
        <w:t>2、查：质检科现场零件加工检验记录，数据有不规范涂改，无保存期限信息。</w:t>
      </w:r>
    </w:p>
    <w:p>
      <w:pPr>
        <w:widowControl/>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不符合GB/T10012标准6.2.3记录。</w:t>
      </w:r>
    </w:p>
    <w:p>
      <w:pPr>
        <w:widowControl/>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企业已对零件加工检验记录规定了保存期限。同时已注意规范记录填写。</w:t>
      </w:r>
    </w:p>
    <w:p>
      <w:pPr>
        <w:widowControl/>
        <w:numPr>
          <w:ilvl w:val="0"/>
          <w:numId w:val="1"/>
        </w:numPr>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查：质检科现场用于水流量计误差检验配套用的编号14033791脉冲计数器没有进行计量确认，</w:t>
      </w:r>
    </w:p>
    <w:p>
      <w:pPr>
        <w:widowControl/>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不符合GB/T10012标准7.1.1总则。</w:t>
      </w:r>
    </w:p>
    <w:p>
      <w:pPr>
        <w:widowControl/>
        <w:spacing w:line="360" w:lineRule="auto"/>
        <w:ind w:firstLine="480" w:firstLineChars="200"/>
        <w:jc w:val="left"/>
        <w:rPr>
          <w:rFonts w:hint="default" w:ascii="宋体" w:hAnsi="宋体"/>
          <w:color w:val="auto"/>
          <w:sz w:val="24"/>
          <w:szCs w:val="24"/>
          <w:lang w:val="en-US" w:eastAsia="zh-CN"/>
        </w:rPr>
      </w:pPr>
      <w:r>
        <w:rPr>
          <w:rFonts w:hint="eastAsia" w:ascii="宋体" w:hAnsi="宋体"/>
          <w:color w:val="auto"/>
          <w:sz w:val="24"/>
          <w:szCs w:val="24"/>
          <w:lang w:val="en-US" w:eastAsia="zh-CN"/>
        </w:rPr>
        <w:t>企业已将编号14033791脉冲计数器送有资质的校准机构校准，并进行了计量验证。</w:t>
      </w:r>
    </w:p>
    <w:p>
      <w:pPr>
        <w:widowControl/>
        <w:spacing w:line="360" w:lineRule="auto"/>
        <w:ind w:firstLine="720" w:firstLineChars="300"/>
        <w:rPr>
          <w:rFonts w:cs="宋体" w:asciiTheme="minorEastAsia" w:hAnsiTheme="minorEastAsia"/>
          <w:bCs/>
          <w:color w:val="auto"/>
          <w:kern w:val="0"/>
          <w:sz w:val="24"/>
          <w:szCs w:val="24"/>
          <w:highlight w:val="none"/>
        </w:rPr>
      </w:pPr>
      <w:r>
        <w:rPr>
          <w:rFonts w:hint="eastAsia" w:ascii="宋体" w:hAnsi="宋体"/>
          <w:color w:val="auto"/>
          <w:sz w:val="24"/>
          <w:szCs w:val="24"/>
          <w:highlight w:val="none"/>
        </w:rPr>
        <w:t>经审核组本次现场审核，通过对纠正措施工作的实施、完成情况跟踪及有效性进行现场查验，确认</w:t>
      </w:r>
      <w:r>
        <w:rPr>
          <w:rFonts w:hint="eastAsia" w:ascii="宋体" w:hAnsi="宋体"/>
          <w:color w:val="auto"/>
          <w:sz w:val="24"/>
          <w:szCs w:val="24"/>
          <w:highlight w:val="none"/>
          <w:lang w:val="en-US" w:eastAsia="zh-CN"/>
        </w:rPr>
        <w:t>企业初次</w:t>
      </w:r>
      <w:r>
        <w:rPr>
          <w:rFonts w:hint="eastAsia" w:asciiTheme="minorEastAsia" w:hAnsiTheme="minorEastAsia"/>
          <w:bCs/>
          <w:color w:val="auto"/>
          <w:sz w:val="24"/>
          <w:szCs w:val="24"/>
          <w:highlight w:val="none"/>
        </w:rPr>
        <w:t>审核中</w:t>
      </w:r>
      <w:r>
        <w:rPr>
          <w:rFonts w:hint="eastAsia" w:asciiTheme="minorEastAsia" w:hAnsiTheme="minorEastAsia"/>
          <w:bCs/>
          <w:color w:val="auto"/>
          <w:sz w:val="24"/>
          <w:szCs w:val="24"/>
          <w:highlight w:val="none"/>
          <w:lang w:val="en-US" w:eastAsia="zh-CN"/>
        </w:rPr>
        <w:t>发现</w:t>
      </w:r>
      <w:r>
        <w:rPr>
          <w:rFonts w:hint="eastAsia" w:asciiTheme="minorEastAsia" w:hAnsiTheme="minorEastAsia"/>
          <w:bCs/>
          <w:color w:val="auto"/>
          <w:sz w:val="24"/>
          <w:szCs w:val="24"/>
          <w:highlight w:val="none"/>
        </w:rPr>
        <w:t>的</w:t>
      </w:r>
      <w:r>
        <w:rPr>
          <w:rFonts w:hint="eastAsia" w:asciiTheme="minorEastAsia" w:hAnsiTheme="minorEastAsia"/>
          <w:bCs/>
          <w:color w:val="auto"/>
          <w:sz w:val="24"/>
          <w:szCs w:val="24"/>
          <w:highlight w:val="none"/>
          <w:lang w:val="en-US" w:eastAsia="zh-CN"/>
        </w:rPr>
        <w:t>3</w:t>
      </w:r>
      <w:r>
        <w:rPr>
          <w:rFonts w:hint="eastAsia" w:asciiTheme="minorEastAsia" w:hAnsiTheme="minorEastAsia"/>
          <w:bCs/>
          <w:color w:val="auto"/>
          <w:sz w:val="24"/>
          <w:szCs w:val="24"/>
          <w:highlight w:val="none"/>
        </w:rPr>
        <w:t>个不符合项，所采取的</w:t>
      </w:r>
      <w:r>
        <w:rPr>
          <w:rFonts w:hint="eastAsia" w:ascii="宋体" w:hAnsi="宋体" w:cs="宋体"/>
          <w:color w:val="auto"/>
          <w:kern w:val="0"/>
          <w:sz w:val="24"/>
          <w:szCs w:val="24"/>
          <w:highlight w:val="none"/>
        </w:rPr>
        <w:t>纠正措施正确，完成情况良好并持续有效</w:t>
      </w:r>
      <w:r>
        <w:rPr>
          <w:rFonts w:hint="eastAsia" w:ascii="宋体" w:cs="宋体"/>
          <w:color w:val="auto"/>
          <w:kern w:val="0"/>
          <w:sz w:val="24"/>
          <w:szCs w:val="24"/>
          <w:highlight w:val="none"/>
        </w:rPr>
        <w:t>。同意关闭</w:t>
      </w:r>
      <w:r>
        <w:rPr>
          <w:rFonts w:hint="eastAsia" w:ascii="宋体" w:cs="宋体"/>
          <w:color w:val="auto"/>
          <w:kern w:val="0"/>
          <w:sz w:val="24"/>
          <w:szCs w:val="24"/>
          <w:highlight w:val="none"/>
          <w:lang w:val="en-US" w:eastAsia="zh-CN"/>
        </w:rPr>
        <w:t>3</w:t>
      </w:r>
      <w:r>
        <w:rPr>
          <w:rFonts w:hint="eastAsia" w:ascii="宋体" w:cs="宋体"/>
          <w:color w:val="auto"/>
          <w:kern w:val="0"/>
          <w:sz w:val="24"/>
          <w:szCs w:val="24"/>
          <w:highlight w:val="none"/>
        </w:rPr>
        <w:t>个不符合项。相关资料附后。</w:t>
      </w:r>
    </w:p>
    <w:p>
      <w:pPr>
        <w:widowControl/>
        <w:spacing w:line="360" w:lineRule="auto"/>
        <w:ind w:firstLine="480"/>
        <w:rPr>
          <w:rStyle w:val="9"/>
          <w:rFonts w:hint="eastAsia" w:ascii="宋体" w:eastAsia="宋体"/>
          <w:color w:val="auto"/>
          <w:sz w:val="24"/>
          <w:szCs w:val="24"/>
          <w:highlight w:val="none"/>
          <w:lang w:val="en-US" w:eastAsia="zh-CN"/>
        </w:rPr>
      </w:pPr>
      <w:r>
        <w:rPr>
          <w:rStyle w:val="9"/>
          <w:rFonts w:hint="eastAsia" w:ascii="宋体" w:eastAsia="宋体"/>
          <w:color w:val="auto"/>
          <w:sz w:val="24"/>
          <w:szCs w:val="24"/>
          <w:highlight w:val="none"/>
          <w:lang w:val="en-US" w:eastAsia="zh-CN"/>
        </w:rPr>
        <w:t>企业内部</w:t>
      </w:r>
      <w:r>
        <w:rPr>
          <w:rFonts w:hint="eastAsia"/>
          <w:color w:val="auto"/>
          <w:sz w:val="24"/>
          <w:szCs w:val="24"/>
          <w:highlight w:val="none"/>
        </w:rPr>
        <w:t>审核</w:t>
      </w:r>
      <w:r>
        <w:rPr>
          <w:rStyle w:val="9"/>
          <w:rFonts w:hint="eastAsia" w:ascii="宋体" w:eastAsia="宋体"/>
          <w:color w:val="auto"/>
          <w:sz w:val="24"/>
          <w:szCs w:val="24"/>
          <w:highlight w:val="none"/>
          <w:lang w:val="en-US" w:eastAsia="zh-CN"/>
        </w:rPr>
        <w:t>开出1个不符合项，到目前为止已完成整改。</w:t>
      </w:r>
    </w:p>
    <w:p>
      <w:pPr>
        <w:widowControl/>
        <w:spacing w:line="360" w:lineRule="auto"/>
        <w:rPr>
          <w:rFonts w:hint="eastAsia" w:cs="宋体" w:asciiTheme="minorEastAsia" w:hAnsiTheme="minorEastAsia"/>
          <w:color w:val="auto"/>
          <w:kern w:val="0"/>
          <w:sz w:val="24"/>
          <w:szCs w:val="24"/>
          <w:highlight w:val="none"/>
        </w:rPr>
      </w:pPr>
    </w:p>
    <w:p>
      <w:pPr>
        <w:widowControl/>
        <w:spacing w:line="360" w:lineRule="auto"/>
        <w:rPr>
          <w:rFonts w:hint="eastAsia" w:asciiTheme="majorEastAsia" w:hAnsiTheme="majorEastAsia" w:eastAsiaTheme="majorEastAsia" w:cstheme="majorEastAsia"/>
          <w:bCs/>
          <w:color w:val="auto"/>
          <w:sz w:val="24"/>
          <w:szCs w:val="24"/>
        </w:rPr>
      </w:pPr>
      <w:r>
        <w:rPr>
          <w:rFonts w:hint="eastAsia" w:cs="宋体" w:asciiTheme="minorEastAsia" w:hAnsiTheme="minorEastAsia"/>
          <w:color w:val="auto"/>
          <w:kern w:val="0"/>
          <w:sz w:val="24"/>
          <w:szCs w:val="24"/>
        </w:rPr>
        <w:t>6.对</w:t>
      </w:r>
      <w:r>
        <w:rPr>
          <w:rFonts w:hint="eastAsia" w:asciiTheme="minorEastAsia" w:hAnsiTheme="minorEastAsia"/>
          <w:bCs/>
          <w:color w:val="auto"/>
          <w:sz w:val="24"/>
          <w:szCs w:val="24"/>
        </w:rPr>
        <w:t>投诉的处理</w:t>
      </w:r>
      <w:r>
        <w:rPr>
          <w:rFonts w:cs="宋体" w:asciiTheme="minorEastAsia" w:hAnsiTheme="minorEastAsia"/>
          <w:bCs/>
          <w:color w:val="auto"/>
          <w:kern w:val="0"/>
          <w:sz w:val="24"/>
          <w:szCs w:val="24"/>
        </w:rPr>
        <w:t>情况：</w:t>
      </w:r>
    </w:p>
    <w:p>
      <w:pPr>
        <w:widowControl/>
        <w:spacing w:line="360" w:lineRule="auto"/>
        <w:rPr>
          <w:rFonts w:cs="宋体" w:asciiTheme="minorEastAsia" w:hAnsiTheme="minorEastAsia"/>
          <w:bCs/>
          <w:color w:val="auto"/>
          <w:kern w:val="0"/>
          <w:sz w:val="24"/>
          <w:szCs w:val="24"/>
        </w:rPr>
      </w:pPr>
      <w:r>
        <w:rPr>
          <w:rFonts w:hint="eastAsia" w:ascii="宋体" w:hAnsi="宋体"/>
          <w:color w:val="auto"/>
          <w:sz w:val="24"/>
          <w:szCs w:val="24"/>
        </w:rPr>
        <w:t xml:space="preserve">    公司目前尚未接到客户在产品质量、物料交接、能源、安全、现场管理等方面的投诉和纠纷。</w:t>
      </w:r>
    </w:p>
    <w:p>
      <w:pPr>
        <w:widowControl/>
        <w:spacing w:line="360" w:lineRule="auto"/>
        <w:rPr>
          <w:rFonts w:cs="宋体" w:asciiTheme="minorEastAsia" w:hAnsiTheme="minorEastAsia"/>
          <w:bCs/>
          <w:color w:val="auto"/>
          <w:kern w:val="0"/>
          <w:sz w:val="24"/>
          <w:szCs w:val="24"/>
        </w:rPr>
      </w:pPr>
      <w:r>
        <w:rPr>
          <w:rFonts w:hint="eastAsia" w:asciiTheme="minorEastAsia" w:hAnsiTheme="minorEastAsia"/>
          <w:bCs/>
          <w:color w:val="auto"/>
          <w:sz w:val="24"/>
          <w:szCs w:val="24"/>
        </w:rPr>
        <w:t>7.管理体系在实现获证客户目标方面的有效性及持续的运作控制</w:t>
      </w:r>
      <w:r>
        <w:rPr>
          <w:rFonts w:cs="宋体" w:asciiTheme="minorEastAsia" w:hAnsiTheme="minorEastAsia"/>
          <w:bCs/>
          <w:color w:val="auto"/>
          <w:kern w:val="0"/>
          <w:sz w:val="24"/>
          <w:szCs w:val="24"/>
        </w:rPr>
        <w:t>情况：</w:t>
      </w:r>
    </w:p>
    <w:p>
      <w:pPr>
        <w:widowControl/>
        <w:spacing w:line="360" w:lineRule="auto"/>
        <w:rPr>
          <w:rFonts w:cs="宋体" w:asciiTheme="minorEastAsia" w:hAnsiTheme="minorEastAsia"/>
          <w:bCs/>
          <w:color w:val="auto"/>
          <w:kern w:val="0"/>
          <w:sz w:val="24"/>
          <w:szCs w:val="24"/>
        </w:rPr>
      </w:pPr>
      <w:r>
        <w:rPr>
          <w:rFonts w:hint="eastAsia" w:ascii="宋体" w:hAnsi="宋体"/>
          <w:bCs/>
          <w:color w:val="auto"/>
          <w:sz w:val="24"/>
          <w:szCs w:val="24"/>
        </w:rPr>
        <w:t xml:space="preserve">   公司制定</w:t>
      </w:r>
      <w:r>
        <w:rPr>
          <w:rFonts w:hint="eastAsia" w:ascii="宋体" w:hAnsi="宋体" w:cs="宋体"/>
          <w:bCs/>
          <w:color w:val="auto"/>
          <w:sz w:val="24"/>
          <w:szCs w:val="24"/>
        </w:rPr>
        <w:t>了</w:t>
      </w:r>
      <w:r>
        <w:rPr>
          <w:rFonts w:hint="eastAsia" w:ascii="宋体" w:hAnsi="宋体" w:cs="宋体"/>
          <w:bCs/>
          <w:color w:val="auto"/>
          <w:sz w:val="24"/>
          <w:szCs w:val="24"/>
          <w:lang w:val="en-US" w:eastAsia="zh-CN"/>
        </w:rPr>
        <w:t>5</w:t>
      </w:r>
      <w:r>
        <w:rPr>
          <w:rFonts w:hint="eastAsia" w:ascii="宋体" w:hAnsi="宋体" w:cs="宋体"/>
          <w:bCs/>
          <w:color w:val="auto"/>
          <w:sz w:val="24"/>
          <w:szCs w:val="24"/>
        </w:rPr>
        <w:t>项质量目标，</w:t>
      </w:r>
      <w:r>
        <w:rPr>
          <w:rFonts w:hint="eastAsia" w:ascii="宋体" w:hAnsi="宋体"/>
          <w:bCs/>
          <w:color w:val="auto"/>
          <w:sz w:val="24"/>
          <w:szCs w:val="24"/>
        </w:rPr>
        <w:t>质量目标有具体考核指标可测量</w:t>
      </w:r>
      <w:r>
        <w:rPr>
          <w:rFonts w:hint="eastAsia" w:ascii="宋体" w:hAnsi="宋体" w:cs="宋体"/>
          <w:bCs/>
          <w:color w:val="auto"/>
          <w:sz w:val="24"/>
          <w:szCs w:val="24"/>
        </w:rPr>
        <w:t>，</w:t>
      </w:r>
      <w:r>
        <w:rPr>
          <w:rFonts w:hint="eastAsia" w:ascii="宋体" w:hAnsi="宋体" w:cs="宋体"/>
          <w:bCs/>
          <w:color w:val="auto"/>
          <w:sz w:val="24"/>
          <w:szCs w:val="24"/>
          <w:lang w:val="en-US" w:eastAsia="zh-CN"/>
        </w:rPr>
        <w:t>经统计2019年</w:t>
      </w:r>
      <w:r>
        <w:rPr>
          <w:rFonts w:hint="eastAsia" w:ascii="宋体" w:hAnsi="宋体" w:cs="宋体"/>
          <w:bCs/>
          <w:color w:val="auto"/>
          <w:sz w:val="24"/>
          <w:szCs w:val="24"/>
        </w:rPr>
        <w:t>质量目标</w:t>
      </w:r>
      <w:r>
        <w:rPr>
          <w:rFonts w:hint="eastAsia" w:ascii="宋体" w:hAnsi="宋体" w:cs="宋体"/>
          <w:bCs/>
          <w:color w:val="auto"/>
          <w:sz w:val="24"/>
          <w:szCs w:val="24"/>
          <w:lang w:val="en-US" w:eastAsia="zh-CN"/>
        </w:rPr>
        <w:t>全部</w:t>
      </w:r>
      <w:r>
        <w:rPr>
          <w:rFonts w:hint="eastAsia" w:ascii="宋体" w:hAnsi="宋体" w:cs="宋体"/>
          <w:bCs/>
          <w:color w:val="auto"/>
          <w:sz w:val="24"/>
          <w:szCs w:val="24"/>
        </w:rPr>
        <w:t>完成</w:t>
      </w:r>
      <w:r>
        <w:rPr>
          <w:rFonts w:hint="eastAsia" w:ascii="宋体" w:hAnsi="宋体"/>
          <w:bCs/>
          <w:color w:val="auto"/>
          <w:sz w:val="24"/>
          <w:szCs w:val="24"/>
          <w:lang w:val="en-US" w:eastAsia="zh-CN"/>
        </w:rPr>
        <w:t>。</w:t>
      </w:r>
      <w:r>
        <w:rPr>
          <w:rFonts w:hint="eastAsia" w:ascii="宋体" w:hAnsi="宋体"/>
          <w:bCs/>
          <w:color w:val="auto"/>
          <w:sz w:val="24"/>
          <w:szCs w:val="24"/>
          <w:highlight w:val="none"/>
        </w:rPr>
        <w:t>进一步满足顾客、质量、服务等方面的要求，</w:t>
      </w:r>
      <w:r>
        <w:rPr>
          <w:rFonts w:hint="eastAsia" w:ascii="宋体" w:hAnsi="宋体"/>
          <w:color w:val="auto"/>
          <w:sz w:val="24"/>
          <w:szCs w:val="24"/>
          <w:highlight w:val="none"/>
        </w:rPr>
        <w:t>符合GB/T 19022-2003标准要求</w:t>
      </w:r>
      <w:r>
        <w:rPr>
          <w:rFonts w:hint="eastAsia" w:ascii="宋体" w:hAnsi="宋体"/>
          <w:color w:val="auto"/>
          <w:sz w:val="24"/>
          <w:szCs w:val="24"/>
        </w:rPr>
        <w:t>。</w:t>
      </w:r>
      <w:r>
        <w:rPr>
          <w:rFonts w:hint="eastAsia" w:ascii="宋体" w:hAnsi="宋体"/>
          <w:bCs/>
          <w:color w:val="auto"/>
          <w:sz w:val="24"/>
          <w:szCs w:val="24"/>
        </w:rPr>
        <w:t>使其更具有动态性和适应性、</w:t>
      </w:r>
      <w:r>
        <w:rPr>
          <w:rFonts w:hint="eastAsia" w:asciiTheme="minorEastAsia" w:hAnsiTheme="minorEastAsia"/>
          <w:bCs/>
          <w:color w:val="auto"/>
          <w:sz w:val="24"/>
          <w:szCs w:val="24"/>
        </w:rPr>
        <w:t>有效性及对持续运作的控</w:t>
      </w:r>
      <w:r>
        <w:rPr>
          <w:rFonts w:hint="eastAsia" w:asciiTheme="minorEastAsia" w:hAnsiTheme="minorEastAsia"/>
          <w:bCs/>
          <w:color w:val="auto"/>
          <w:sz w:val="24"/>
          <w:szCs w:val="24"/>
          <w:lang w:val="en-US" w:eastAsia="zh-CN"/>
        </w:rPr>
        <w:t xml:space="preserve"> </w:t>
      </w:r>
      <w:r>
        <w:rPr>
          <w:rFonts w:hint="eastAsia" w:asciiTheme="minorEastAsia" w:hAnsiTheme="minorEastAsia"/>
          <w:bCs/>
          <w:color w:val="auto"/>
          <w:sz w:val="24"/>
          <w:szCs w:val="24"/>
        </w:rPr>
        <w:t>制。</w:t>
      </w:r>
    </w:p>
    <w:p>
      <w:pPr>
        <w:widowControl/>
        <w:numPr>
          <w:ilvl w:val="0"/>
          <w:numId w:val="2"/>
        </w:num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对组织任何变更的审核：</w:t>
      </w:r>
    </w:p>
    <w:p>
      <w:pPr>
        <w:widowControl/>
        <w:spacing w:line="360" w:lineRule="auto"/>
        <w:ind w:firstLine="480" w:firstLineChars="200"/>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2019年11月28日企业营业执照已发生变更，注册资本由3180万元变更为8680万元，2019年11月28日取得新营业执照。2020年3月1日营业执照又发生变更，增加了经营范围，2020年3月1日取得新的营业执照。</w:t>
      </w:r>
    </w:p>
    <w:p>
      <w:pPr>
        <w:widowControl/>
        <w:spacing w:line="360" w:lineRule="auto"/>
        <w:ind w:firstLine="480" w:firstLineChars="200"/>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组织机构没有变更。</w:t>
      </w:r>
    </w:p>
    <w:p>
      <w:pPr>
        <w:widowControl/>
        <w:spacing w:line="360" w:lineRule="auto"/>
        <w:rPr>
          <w:rFonts w:cs="宋体" w:asciiTheme="minorEastAsia" w:hAnsiTheme="minorEastAsia"/>
          <w:bCs/>
          <w:color w:val="auto"/>
          <w:kern w:val="0"/>
          <w:sz w:val="24"/>
          <w:szCs w:val="24"/>
        </w:rPr>
      </w:pPr>
      <w:r>
        <w:rPr>
          <w:rFonts w:hint="eastAsia" w:asciiTheme="minorEastAsia" w:hAnsiTheme="minorEastAsia"/>
          <w:bCs/>
          <w:color w:val="auto"/>
          <w:sz w:val="24"/>
          <w:szCs w:val="24"/>
        </w:rPr>
        <w:t>9.标志的使用和（或）任何其他对认证资</w:t>
      </w:r>
      <w:r>
        <w:rPr>
          <w:rFonts w:hint="eastAsia"/>
          <w:bCs/>
          <w:color w:val="auto"/>
          <w:sz w:val="24"/>
          <w:szCs w:val="24"/>
        </w:rPr>
        <w:t>格引用符合</w:t>
      </w:r>
      <w:r>
        <w:rPr>
          <w:rFonts w:cs="宋体" w:asciiTheme="minorEastAsia" w:hAnsiTheme="minorEastAsia"/>
          <w:bCs/>
          <w:color w:val="auto"/>
          <w:kern w:val="0"/>
          <w:sz w:val="24"/>
          <w:szCs w:val="24"/>
        </w:rPr>
        <w:t>的情况：</w:t>
      </w:r>
    </w:p>
    <w:p>
      <w:pPr>
        <w:widowControl/>
        <w:spacing w:line="360" w:lineRule="auto"/>
        <w:ind w:firstLine="480" w:firstLineChars="200"/>
        <w:rPr>
          <w:rFonts w:ascii="宋体" w:hAnsi="宋体"/>
          <w:bCs/>
          <w:color w:val="auto"/>
          <w:sz w:val="24"/>
          <w:szCs w:val="24"/>
        </w:rPr>
      </w:pPr>
      <w:r>
        <w:rPr>
          <w:rFonts w:hint="eastAsia" w:cs="宋体" w:asciiTheme="minorEastAsia" w:hAnsiTheme="minorEastAsia"/>
          <w:bCs/>
          <w:color w:val="auto"/>
          <w:kern w:val="0"/>
          <w:sz w:val="24"/>
          <w:szCs w:val="24"/>
        </w:rPr>
        <w:t>公司对</w:t>
      </w:r>
      <w:r>
        <w:rPr>
          <w:rFonts w:hint="eastAsia" w:asciiTheme="minorEastAsia" w:hAnsiTheme="minorEastAsia"/>
          <w:bCs/>
          <w:color w:val="auto"/>
          <w:sz w:val="24"/>
          <w:szCs w:val="24"/>
        </w:rPr>
        <w:t>标志的使用，</w:t>
      </w:r>
      <w:r>
        <w:rPr>
          <w:rFonts w:hint="eastAsia"/>
          <w:bCs/>
          <w:color w:val="auto"/>
          <w:sz w:val="24"/>
          <w:szCs w:val="24"/>
        </w:rPr>
        <w:t>符合相关标准和规定。公司测量</w:t>
      </w:r>
      <w:r>
        <w:rPr>
          <w:rFonts w:hint="eastAsia" w:ascii="宋体" w:hAnsi="宋体"/>
          <w:bCs/>
          <w:color w:val="auto"/>
          <w:sz w:val="24"/>
          <w:szCs w:val="24"/>
        </w:rPr>
        <w:t>管理体系认证证书用于：招投标和企业形象宣传。</w:t>
      </w:r>
    </w:p>
    <w:p>
      <w:pPr>
        <w:snapToGrid w:val="0"/>
        <w:spacing w:line="360" w:lineRule="auto"/>
        <w:ind w:right="-512" w:rightChars="-244"/>
        <w:rPr>
          <w:rFonts w:hint="eastAsia" w:ascii="宋体" w:hAnsi="宋体"/>
          <w:color w:val="auto"/>
          <w:sz w:val="24"/>
          <w:szCs w:val="24"/>
          <w:highlight w:val="none"/>
        </w:rPr>
      </w:pPr>
      <w:r>
        <w:rPr>
          <w:rFonts w:hint="eastAsia" w:asciiTheme="minorEastAsia" w:hAnsiTheme="minorEastAsia"/>
          <w:bCs/>
          <w:color w:val="auto"/>
          <w:sz w:val="24"/>
          <w:szCs w:val="24"/>
          <w:highlight w:val="none"/>
        </w:rPr>
        <w:t>10.</w:t>
      </w:r>
      <w:r>
        <w:rPr>
          <w:rFonts w:hint="eastAsia" w:ascii="宋体" w:hAnsi="宋体"/>
          <w:color w:val="auto"/>
          <w:sz w:val="24"/>
          <w:szCs w:val="24"/>
          <w:highlight w:val="none"/>
        </w:rPr>
        <w:t>本次审核</w:t>
      </w:r>
      <w:r>
        <w:rPr>
          <w:rFonts w:hint="eastAsia" w:ascii="宋体" w:hAnsi="宋体"/>
          <w:color w:val="auto"/>
          <w:sz w:val="24"/>
          <w:szCs w:val="24"/>
          <w:highlight w:val="none"/>
          <w:lang w:val="en-US" w:eastAsia="zh-CN"/>
        </w:rPr>
        <w:t>未发现一</w:t>
      </w:r>
      <w:r>
        <w:rPr>
          <w:rFonts w:hint="eastAsia" w:ascii="宋体" w:hAnsi="宋体"/>
          <w:color w:val="auto"/>
          <w:sz w:val="24"/>
          <w:szCs w:val="24"/>
          <w:highlight w:val="none"/>
        </w:rPr>
        <w:t>般不符合项 ，未发现严重或系统性的不符合情况。</w:t>
      </w:r>
    </w:p>
    <w:p>
      <w:pPr>
        <w:snapToGrid w:val="0"/>
        <w:spacing w:line="360" w:lineRule="auto"/>
        <w:ind w:right="-512" w:rightChars="-244"/>
        <w:rPr>
          <w:rFonts w:hint="default" w:ascii="宋体" w:hAnsi="宋体"/>
          <w:sz w:val="24"/>
          <w:szCs w:val="24"/>
          <w:lang w:val="en-US" w:eastAsia="zh-CN"/>
        </w:rPr>
      </w:pPr>
    </w:p>
    <w:p>
      <w:pPr>
        <w:widowControl/>
        <w:spacing w:line="360" w:lineRule="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三、</w:t>
      </w:r>
      <w:r>
        <w:rPr>
          <w:rFonts w:ascii="宋体" w:hAnsi="宋体" w:eastAsia="宋体" w:cs="宋体"/>
          <w:b/>
          <w:bCs/>
          <w:color w:val="auto"/>
          <w:kern w:val="0"/>
          <w:sz w:val="24"/>
          <w:szCs w:val="24"/>
        </w:rPr>
        <w:t>监督审核结</w:t>
      </w:r>
      <w:r>
        <w:rPr>
          <w:rFonts w:hint="eastAsia" w:ascii="宋体" w:hAnsi="宋体" w:eastAsia="宋体" w:cs="宋体"/>
          <w:b/>
          <w:bCs/>
          <w:color w:val="auto"/>
          <w:kern w:val="0"/>
          <w:sz w:val="24"/>
          <w:szCs w:val="24"/>
          <w:lang w:val="en-US" w:eastAsia="zh-CN"/>
        </w:rPr>
        <w:t>论意</w:t>
      </w:r>
      <w:r>
        <w:rPr>
          <w:rFonts w:ascii="宋体" w:hAnsi="宋体" w:eastAsia="宋体" w:cs="宋体"/>
          <w:b/>
          <w:bCs/>
          <w:color w:val="auto"/>
          <w:kern w:val="0"/>
          <w:sz w:val="24"/>
          <w:szCs w:val="24"/>
        </w:rPr>
        <w:t>见</w:t>
      </w:r>
      <w:r>
        <w:rPr>
          <w:rFonts w:ascii="宋体" w:hAnsi="宋体" w:eastAsia="宋体" w:cs="宋体"/>
          <w:bCs/>
          <w:color w:val="auto"/>
          <w:kern w:val="0"/>
          <w:sz w:val="24"/>
          <w:szCs w:val="24"/>
        </w:rPr>
        <w:t>(</w:t>
      </w:r>
      <w:r>
        <w:rPr>
          <w:rFonts w:ascii="宋体" w:hAnsi="宋体" w:eastAsia="宋体" w:cs="宋体"/>
          <w:color w:val="auto"/>
          <w:kern w:val="0"/>
          <w:sz w:val="24"/>
          <w:szCs w:val="24"/>
        </w:rPr>
        <w:t>含需要说明的事项):</w:t>
      </w:r>
    </w:p>
    <w:p>
      <w:pPr>
        <w:snapToGrid w:val="0"/>
        <w:spacing w:line="400" w:lineRule="exact"/>
        <w:ind w:right="-512" w:rightChars="-244" w:firstLine="480"/>
        <w:rPr>
          <w:rFonts w:asciiTheme="majorEastAsia" w:hAnsiTheme="majorEastAsia" w:eastAsiaTheme="majorEastAsia" w:cstheme="majorEastAsia"/>
          <w:color w:val="auto"/>
          <w:sz w:val="24"/>
          <w:szCs w:val="24"/>
        </w:rPr>
      </w:pPr>
      <w:r>
        <w:rPr>
          <w:rStyle w:val="10"/>
          <w:rFonts w:hint="eastAsia" w:asciiTheme="majorEastAsia" w:hAnsiTheme="majorEastAsia" w:eastAsiaTheme="majorEastAsia" w:cstheme="majorEastAsia"/>
          <w:color w:val="auto"/>
          <w:sz w:val="24"/>
          <w:szCs w:val="24"/>
        </w:rPr>
        <w:t>通过20</w:t>
      </w:r>
      <w:r>
        <w:rPr>
          <w:rStyle w:val="10"/>
          <w:rFonts w:hint="eastAsia" w:asciiTheme="majorEastAsia" w:hAnsiTheme="majorEastAsia" w:eastAsiaTheme="majorEastAsia" w:cstheme="majorEastAsia"/>
          <w:color w:val="auto"/>
          <w:sz w:val="24"/>
          <w:szCs w:val="24"/>
          <w:lang w:val="en-US" w:eastAsia="zh-CN"/>
        </w:rPr>
        <w:t>20</w:t>
      </w:r>
      <w:r>
        <w:rPr>
          <w:rStyle w:val="10"/>
          <w:rFonts w:hint="eastAsia" w:asciiTheme="majorEastAsia" w:hAnsiTheme="majorEastAsia" w:eastAsiaTheme="majorEastAsia" w:cstheme="majorEastAsia"/>
          <w:color w:val="auto"/>
          <w:sz w:val="24"/>
          <w:szCs w:val="24"/>
        </w:rPr>
        <w:t>年</w:t>
      </w:r>
      <w:r>
        <w:rPr>
          <w:rStyle w:val="10"/>
          <w:rFonts w:hint="eastAsia" w:asciiTheme="majorEastAsia" w:hAnsiTheme="majorEastAsia" w:eastAsiaTheme="majorEastAsia" w:cstheme="majorEastAsia"/>
          <w:color w:val="auto"/>
          <w:sz w:val="24"/>
          <w:szCs w:val="24"/>
          <w:lang w:val="en-US" w:eastAsia="zh-CN"/>
        </w:rPr>
        <w:t>8</w:t>
      </w:r>
      <w:r>
        <w:rPr>
          <w:rStyle w:val="10"/>
          <w:rFonts w:hint="eastAsia" w:asciiTheme="majorEastAsia" w:hAnsiTheme="majorEastAsia" w:eastAsiaTheme="majorEastAsia" w:cstheme="majorEastAsia"/>
          <w:color w:val="auto"/>
          <w:sz w:val="24"/>
          <w:szCs w:val="24"/>
        </w:rPr>
        <w:t>月</w:t>
      </w:r>
      <w:r>
        <w:rPr>
          <w:rStyle w:val="10"/>
          <w:rFonts w:hint="eastAsia" w:asciiTheme="majorEastAsia" w:hAnsiTheme="majorEastAsia" w:eastAsiaTheme="majorEastAsia" w:cstheme="majorEastAsia"/>
          <w:color w:val="auto"/>
          <w:sz w:val="24"/>
          <w:szCs w:val="24"/>
          <w:lang w:val="en-US" w:eastAsia="zh-CN"/>
        </w:rPr>
        <w:t>12</w:t>
      </w:r>
      <w:r>
        <w:rPr>
          <w:rStyle w:val="10"/>
          <w:rFonts w:hint="eastAsia" w:asciiTheme="majorEastAsia" w:hAnsiTheme="majorEastAsia" w:eastAsiaTheme="majorEastAsia" w:cstheme="majorEastAsia"/>
          <w:color w:val="auto"/>
          <w:sz w:val="24"/>
          <w:szCs w:val="24"/>
        </w:rPr>
        <w:t>日，对</w:t>
      </w:r>
      <w:r>
        <w:rPr>
          <w:rFonts w:cs="宋体" w:asciiTheme="minorEastAsia" w:hAnsiTheme="minorEastAsia"/>
          <w:color w:val="auto"/>
          <w:kern w:val="0"/>
          <w:sz w:val="24"/>
          <w:szCs w:val="24"/>
        </w:rPr>
        <w:t>温州福鑫仪表有限公司</w:t>
      </w:r>
      <w:r>
        <w:rPr>
          <w:rStyle w:val="10"/>
          <w:rFonts w:hint="eastAsia" w:asciiTheme="majorEastAsia" w:hAnsiTheme="majorEastAsia" w:eastAsiaTheme="majorEastAsia" w:cstheme="majorEastAsia"/>
          <w:color w:val="auto"/>
          <w:sz w:val="24"/>
          <w:szCs w:val="24"/>
        </w:rPr>
        <w:t>测量管理现场监督审核</w:t>
      </w:r>
      <w:r>
        <w:rPr>
          <w:rFonts w:hint="eastAsia" w:asciiTheme="majorEastAsia" w:hAnsiTheme="majorEastAsia" w:eastAsiaTheme="majorEastAsia" w:cstheme="majorEastAsia"/>
          <w:bCs/>
          <w:color w:val="auto"/>
          <w:sz w:val="24"/>
          <w:szCs w:val="24"/>
        </w:rPr>
        <w:t>.验证了贵公司测量管理体系</w:t>
      </w:r>
      <w:r>
        <w:rPr>
          <w:rFonts w:hint="eastAsia" w:asciiTheme="majorEastAsia" w:hAnsiTheme="majorEastAsia" w:eastAsiaTheme="majorEastAsia" w:cstheme="majorEastAsia"/>
          <w:bCs/>
          <w:color w:val="auto"/>
          <w:sz w:val="24"/>
          <w:szCs w:val="24"/>
          <w:lang w:val="en-US" w:eastAsia="zh-CN"/>
        </w:rPr>
        <w:t>在去年审核</w:t>
      </w:r>
      <w:r>
        <w:rPr>
          <w:rFonts w:hint="eastAsia" w:asciiTheme="majorEastAsia" w:hAnsiTheme="majorEastAsia" w:eastAsiaTheme="majorEastAsia" w:cstheme="majorEastAsia"/>
          <w:bCs/>
          <w:color w:val="auto"/>
          <w:sz w:val="24"/>
          <w:szCs w:val="24"/>
        </w:rPr>
        <w:t>后</w:t>
      </w:r>
      <w:r>
        <w:rPr>
          <w:rFonts w:hint="eastAsia" w:asciiTheme="majorEastAsia" w:hAnsiTheme="majorEastAsia" w:eastAsiaTheme="majorEastAsia" w:cstheme="majorEastAsia"/>
          <w:bCs/>
          <w:color w:val="auto"/>
          <w:sz w:val="24"/>
          <w:szCs w:val="24"/>
          <w:lang w:val="en-US" w:eastAsia="zh-CN"/>
        </w:rPr>
        <w:t>1</w:t>
      </w:r>
      <w:r>
        <w:rPr>
          <w:rFonts w:hint="eastAsia" w:asciiTheme="majorEastAsia" w:hAnsiTheme="majorEastAsia" w:eastAsiaTheme="majorEastAsia" w:cstheme="majorEastAsia"/>
          <w:bCs/>
          <w:color w:val="auto"/>
          <w:sz w:val="24"/>
          <w:szCs w:val="24"/>
        </w:rPr>
        <w:t>年内，</w:t>
      </w:r>
      <w:r>
        <w:rPr>
          <w:rFonts w:hint="eastAsia" w:asciiTheme="majorEastAsia" w:hAnsiTheme="majorEastAsia" w:eastAsiaTheme="majorEastAsia" w:cstheme="majorEastAsia"/>
          <w:color w:val="auto"/>
          <w:sz w:val="24"/>
          <w:szCs w:val="24"/>
        </w:rPr>
        <w:t>公司领导重视体系运行和管理，体系文件得到有效实施，关键测量过程受控、监视方法正确有效，重要测量人员能力受控，测量设备、测量环境、测量软件、测量记录及外部供方管理等各项工作</w:t>
      </w:r>
      <w:r>
        <w:rPr>
          <w:rFonts w:hint="eastAsia" w:asciiTheme="majorEastAsia" w:hAnsiTheme="majorEastAsia" w:eastAsiaTheme="majorEastAsia" w:cstheme="majorEastAsia"/>
          <w:color w:val="auto"/>
          <w:sz w:val="24"/>
          <w:szCs w:val="24"/>
          <w:lang w:val="en-US" w:eastAsia="zh-CN"/>
        </w:rPr>
        <w:t>管理</w:t>
      </w:r>
      <w:r>
        <w:rPr>
          <w:rFonts w:hint="eastAsia" w:asciiTheme="majorEastAsia" w:hAnsiTheme="majorEastAsia" w:eastAsiaTheme="majorEastAsia" w:cstheme="majorEastAsia"/>
          <w:color w:val="auto"/>
          <w:sz w:val="24"/>
          <w:szCs w:val="24"/>
        </w:rPr>
        <w:t>规范，使公司测量体系持续满足顾客的测量要求。综上所述，审核组认为</w:t>
      </w:r>
      <w:r>
        <w:rPr>
          <w:rFonts w:cs="宋体" w:asciiTheme="minorEastAsia" w:hAnsiTheme="minorEastAsia"/>
          <w:color w:val="auto"/>
          <w:kern w:val="0"/>
          <w:sz w:val="24"/>
          <w:szCs w:val="24"/>
        </w:rPr>
        <w:t>温州福鑫仪表有限公司</w:t>
      </w:r>
      <w:r>
        <w:rPr>
          <w:rFonts w:hint="eastAsia" w:asciiTheme="majorEastAsia" w:hAnsiTheme="majorEastAsia" w:eastAsiaTheme="majorEastAsia" w:cstheme="majorEastAsia"/>
          <w:color w:val="auto"/>
          <w:sz w:val="24"/>
          <w:szCs w:val="24"/>
        </w:rPr>
        <w:t>测量管理体系，符合GB/T 19022-2003标准要求，对体系运行具有持续的有效性、符合性予以肯定。建议报请国标联合认证有限公司批准通过监督审核。</w:t>
      </w:r>
    </w:p>
    <w:p>
      <w:pPr>
        <w:snapToGrid w:val="0"/>
        <w:spacing w:line="400" w:lineRule="exact"/>
        <w:ind w:right="-512" w:rightChars="-244" w:firstLine="480"/>
        <w:rPr>
          <w:rFonts w:ascii="宋体" w:hAnsi="宋体" w:eastAsia="宋体" w:cs="Times New Roman"/>
          <w:color w:val="auto"/>
          <w:sz w:val="24"/>
          <w:szCs w:val="24"/>
        </w:rPr>
      </w:pPr>
      <w:r>
        <w:rPr>
          <w:rFonts w:hint="eastAsia" w:ascii="宋体" w:hAnsi="宋体" w:eastAsia="宋体" w:cs="Times New Roman"/>
          <w:color w:val="auto"/>
          <w:sz w:val="24"/>
          <w:szCs w:val="24"/>
        </w:rPr>
        <w:t>另为了促进支持企业测量管理体系持续提高，建议企业</w:t>
      </w:r>
      <w:r>
        <w:rPr>
          <w:rFonts w:hint="eastAsia" w:ascii="宋体" w:hAnsi="宋体" w:eastAsia="宋体" w:cs="Times New Roman"/>
          <w:color w:val="auto"/>
          <w:sz w:val="24"/>
          <w:szCs w:val="24"/>
          <w:lang w:val="en-US" w:eastAsia="zh-CN"/>
        </w:rPr>
        <w:t>加强测量体系标准的学习与培训，提高体系管理人员的能力。</w:t>
      </w:r>
      <w:r>
        <w:rPr>
          <w:rFonts w:hint="eastAsia" w:ascii="宋体" w:hAnsi="宋体" w:eastAsia="宋体" w:cs="Times New Roman"/>
          <w:color w:val="auto"/>
          <w:sz w:val="24"/>
          <w:szCs w:val="24"/>
        </w:rPr>
        <w:t>做好测量设备</w:t>
      </w:r>
      <w:r>
        <w:rPr>
          <w:rFonts w:hint="eastAsia" w:ascii="宋体" w:hAnsi="宋体" w:eastAsia="宋体" w:cs="Times New Roman"/>
          <w:color w:val="auto"/>
          <w:sz w:val="24"/>
          <w:szCs w:val="24"/>
          <w:lang w:val="en-US" w:eastAsia="zh-CN"/>
        </w:rPr>
        <w:t>管理和</w:t>
      </w:r>
      <w:r>
        <w:rPr>
          <w:rFonts w:hint="eastAsia" w:ascii="宋体" w:hAnsi="宋体" w:eastAsia="宋体" w:cs="Times New Roman"/>
          <w:color w:val="auto"/>
          <w:sz w:val="24"/>
          <w:szCs w:val="24"/>
        </w:rPr>
        <w:t>使用维护管理，确保测量设备满足使用要求。</w:t>
      </w:r>
    </w:p>
    <w:p>
      <w:pPr>
        <w:snapToGrid w:val="0"/>
        <w:spacing w:line="400" w:lineRule="exact"/>
        <w:ind w:right="-512" w:rightChars="-244" w:firstLine="480"/>
        <w:rPr>
          <w:rFonts w:ascii="宋体" w:hAnsi="宋体" w:eastAsia="宋体" w:cs="Times New Roman"/>
          <w:color w:val="auto"/>
          <w:sz w:val="24"/>
          <w:szCs w:val="24"/>
        </w:rPr>
      </w:pPr>
    </w:p>
    <w:p>
      <w:pPr>
        <w:widowControl/>
        <w:numPr>
          <w:ilvl w:val="0"/>
          <w:numId w:val="3"/>
        </w:numPr>
        <w:spacing w:line="360" w:lineRule="auto"/>
        <w:jc w:val="left"/>
        <w:rPr>
          <w:rFonts w:asciiTheme="majorEastAsia" w:hAnsiTheme="majorEastAsia" w:eastAsiaTheme="majorEastAsia" w:cstheme="majorEastAsia"/>
          <w:color w:val="auto"/>
          <w:sz w:val="24"/>
          <w:szCs w:val="24"/>
        </w:rPr>
      </w:pPr>
      <w:r>
        <w:rPr>
          <w:rFonts w:ascii="宋体" w:hAnsi="宋体" w:cs="宋体"/>
          <w:color w:val="auto"/>
          <w:kern w:val="0"/>
          <w:sz w:val="24"/>
          <w:szCs w:val="24"/>
        </w:rPr>
        <w:t>其他需要说明的事项</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w:t>
      </w:r>
    </w:p>
    <w:p>
      <w:pPr>
        <w:widowControl/>
        <w:spacing w:line="360" w:lineRule="auto"/>
        <w:jc w:val="left"/>
        <w:rPr>
          <w:rFonts w:asciiTheme="majorEastAsia" w:hAnsiTheme="majorEastAsia" w:eastAsiaTheme="majorEastAsia" w:cstheme="majorEastAsia"/>
          <w:color w:val="auto"/>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 审核组组长（签字）：                                日期：</w:t>
      </w:r>
    </w:p>
    <w:p>
      <w:pPr>
        <w:snapToGrid w:val="0"/>
        <w:spacing w:line="400" w:lineRule="exact"/>
        <w:ind w:right="-512" w:rightChars="-244" w:firstLine="480"/>
        <w:rPr>
          <w:rFonts w:asciiTheme="majorEastAsia" w:hAnsiTheme="majorEastAsia" w:eastAsiaTheme="majorEastAsia" w:cstheme="majorEastAsia"/>
          <w:sz w:val="24"/>
          <w:szCs w:val="24"/>
        </w:rPr>
      </w:pPr>
    </w:p>
    <w:p>
      <w:pPr>
        <w:snapToGrid w:val="0"/>
        <w:spacing w:line="400" w:lineRule="exact"/>
        <w:ind w:right="-512" w:rightChars="-244"/>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13.审核组成员(签字)：                                  日期：</w:t>
      </w:r>
    </w:p>
    <w:p>
      <w:pPr>
        <w:widowControl/>
        <w:spacing w:line="276" w:lineRule="auto"/>
        <w:ind w:right="945"/>
        <w:rPr>
          <w:rFonts w:ascii="宋体" w:hAnsi="宋体" w:eastAsia="宋体" w:cs="宋体"/>
          <w:b/>
          <w:bCs/>
          <w:kern w:val="0"/>
          <w:sz w:val="24"/>
          <w:szCs w:val="24"/>
        </w:rPr>
      </w:pPr>
    </w:p>
    <w:p>
      <w:pPr>
        <w:widowControl/>
        <w:spacing w:line="276" w:lineRule="auto"/>
        <w:ind w:right="945"/>
        <w:rPr>
          <w:rFonts w:ascii="宋体" w:hAnsi="宋体" w:eastAsia="宋体" w:cs="宋体"/>
          <w:kern w:val="0"/>
          <w:sz w:val="24"/>
          <w:szCs w:val="24"/>
        </w:rPr>
      </w:pPr>
      <w:r>
        <w:rPr>
          <w:rFonts w:hint="eastAsia" w:ascii="宋体" w:hAnsi="宋体" w:eastAsia="宋体" w:cs="宋体"/>
          <w:b/>
          <w:bCs/>
          <w:kern w:val="0"/>
          <w:sz w:val="24"/>
          <w:szCs w:val="24"/>
        </w:rPr>
        <w:t>四、报告审查人意见</w:t>
      </w:r>
    </w:p>
    <w:p>
      <w:pPr>
        <w:widowControl/>
        <w:spacing w:line="276" w:lineRule="auto"/>
        <w:jc w:val="left"/>
        <w:rPr>
          <w:rFonts w:ascii="宋体" w:hAnsi="宋体" w:eastAsia="宋体" w:cs="宋体"/>
          <w:kern w:val="0"/>
          <w:sz w:val="24"/>
          <w:szCs w:val="24"/>
        </w:rPr>
      </w:pP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审查人员（签字）：                                     日期：</w:t>
      </w:r>
    </w:p>
    <w:p>
      <w:pPr>
        <w:widowControl/>
        <w:spacing w:line="276" w:lineRule="auto"/>
        <w:ind w:right="1050"/>
        <w:rPr>
          <w:rFonts w:ascii="宋体" w:hAnsi="宋体" w:eastAsia="宋体" w:cs="宋体"/>
          <w:b/>
          <w:bCs/>
          <w:kern w:val="0"/>
          <w:sz w:val="24"/>
          <w:szCs w:val="24"/>
        </w:rPr>
      </w:pPr>
    </w:p>
    <w:p>
      <w:pPr>
        <w:widowControl/>
        <w:spacing w:line="276" w:lineRule="auto"/>
        <w:jc w:val="left"/>
        <w:rPr>
          <w:rFonts w:ascii="宋体" w:hAnsi="宋体" w:eastAsia="宋体" w:cs="宋体"/>
          <w:kern w:val="0"/>
          <w:szCs w:val="28"/>
        </w:rPr>
      </w:pPr>
      <w:r>
        <w:rPr>
          <w:rFonts w:hint="eastAsia" w:ascii="宋体" w:hAnsi="宋体" w:eastAsia="宋体" w:cs="宋体"/>
          <w:b/>
          <w:bCs/>
          <w:kern w:val="0"/>
          <w:sz w:val="24"/>
          <w:szCs w:val="24"/>
        </w:rPr>
        <w:t xml:space="preserve">五、 </w:t>
      </w:r>
      <w:r>
        <w:rPr>
          <w:rFonts w:ascii="宋体" w:hAnsi="宋体" w:eastAsia="宋体" w:cs="宋体"/>
          <w:b/>
          <w:bCs/>
          <w:kern w:val="0"/>
          <w:sz w:val="24"/>
          <w:szCs w:val="24"/>
        </w:rPr>
        <w:t>认证</w:t>
      </w:r>
      <w:r>
        <w:rPr>
          <w:rFonts w:hint="eastAsia" w:ascii="宋体" w:hAnsi="宋体" w:eastAsia="宋体" w:cs="宋体"/>
          <w:b/>
          <w:bCs/>
          <w:kern w:val="0"/>
          <w:sz w:val="24"/>
          <w:szCs w:val="24"/>
        </w:rPr>
        <w:t>机构</w:t>
      </w:r>
      <w:r>
        <w:rPr>
          <w:rFonts w:ascii="宋体" w:hAnsi="宋体" w:eastAsia="宋体" w:cs="宋体"/>
          <w:b/>
          <w:kern w:val="0"/>
          <w:sz w:val="24"/>
          <w:szCs w:val="24"/>
        </w:rPr>
        <w:t>负责人</w:t>
      </w:r>
      <w:r>
        <w:rPr>
          <w:rFonts w:hint="eastAsia" w:ascii="宋体" w:hAnsi="宋体" w:eastAsia="宋体" w:cs="宋体"/>
          <w:kern w:val="0"/>
          <w:sz w:val="24"/>
          <w:szCs w:val="24"/>
        </w:rPr>
        <w:t>(</w:t>
      </w:r>
      <w:r>
        <w:rPr>
          <w:rFonts w:ascii="宋体" w:hAnsi="宋体" w:eastAsia="宋体" w:cs="宋体"/>
          <w:kern w:val="0"/>
          <w:sz w:val="24"/>
          <w:szCs w:val="24"/>
        </w:rPr>
        <w:t>签字</w:t>
      </w:r>
      <w:r>
        <w:rPr>
          <w:rFonts w:hint="eastAsia" w:ascii="宋体" w:hAnsi="宋体" w:eastAsia="宋体" w:cs="宋体"/>
          <w:kern w:val="0"/>
          <w:sz w:val="24"/>
          <w:szCs w:val="24"/>
        </w:rPr>
        <w:t>)</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日期：</w:t>
      </w:r>
      <w:r>
        <w:rPr>
          <w:rFonts w:hint="eastAsia" w:ascii="宋体" w:hAnsi="宋体" w:eastAsia="宋体" w:cs="宋体"/>
          <w:kern w:val="0"/>
          <w:sz w:val="24"/>
          <w:szCs w:val="24"/>
        </w:rPr>
        <w:t xml:space="preserve">          </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bookmarkStart w:id="11" w:name="_GoBack"/>
      <w:bookmarkEnd w:id="11"/>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2A18D"/>
    <w:multiLevelType w:val="singleLevel"/>
    <w:tmpl w:val="8BE2A18D"/>
    <w:lvl w:ilvl="0" w:tentative="0">
      <w:start w:val="11"/>
      <w:numFmt w:val="decimal"/>
      <w:suff w:val="space"/>
      <w:lvlText w:val="%1."/>
      <w:lvlJc w:val="left"/>
    </w:lvl>
  </w:abstractNum>
  <w:abstractNum w:abstractNumId="1">
    <w:nsid w:val="E5EF7232"/>
    <w:multiLevelType w:val="singleLevel"/>
    <w:tmpl w:val="E5EF7232"/>
    <w:lvl w:ilvl="0" w:tentative="0">
      <w:start w:val="3"/>
      <w:numFmt w:val="decimal"/>
      <w:suff w:val="nothing"/>
      <w:lvlText w:val="%1、"/>
      <w:lvlJc w:val="left"/>
    </w:lvl>
  </w:abstractNum>
  <w:abstractNum w:abstractNumId="2">
    <w:nsid w:val="583E7A58"/>
    <w:multiLevelType w:val="singleLevel"/>
    <w:tmpl w:val="583E7A58"/>
    <w:lvl w:ilvl="0" w:tentative="0">
      <w:start w:val="8"/>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B328F6"/>
    <w:rsid w:val="083B39D3"/>
    <w:rsid w:val="0B6C2A56"/>
    <w:rsid w:val="0E942302"/>
    <w:rsid w:val="195E4409"/>
    <w:rsid w:val="278007B9"/>
    <w:rsid w:val="29DB6C6C"/>
    <w:rsid w:val="30B13723"/>
    <w:rsid w:val="36882F95"/>
    <w:rsid w:val="3C327523"/>
    <w:rsid w:val="47F84D16"/>
    <w:rsid w:val="52D72CB4"/>
    <w:rsid w:val="638C6F3B"/>
    <w:rsid w:val="6B916D5B"/>
    <w:rsid w:val="6D7D5EE8"/>
    <w:rsid w:val="703B7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61</TotalTime>
  <ScaleCrop>false</ScaleCrop>
  <LinksUpToDate>false</LinksUpToDate>
  <CharactersWithSpaces>540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2020-08-12T09:55:55Z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