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大庆市聚通祥机械设备有限公司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0054-2017-2020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054-</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7-</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大庆市聚通祥机械设备</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张迎春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ISC-2018-</w:t>
            </w:r>
            <w:r>
              <w:rPr>
                <w:rFonts w:hint="eastAsia" w:cs="宋体" w:asciiTheme="minorEastAsia" w:hAnsiTheme="minorEastAsia"/>
                <w:kern w:val="0"/>
                <w:szCs w:val="21"/>
                <w:shd w:val="clear" w:color="auto" w:fill="auto"/>
                <w:lang w:val="en-US" w:eastAsia="zh-CN"/>
              </w:rPr>
              <w:t>0134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r>
              <w:rPr>
                <w:rFonts w:hint="eastAsia" w:cs="宋体" w:asciiTheme="minorEastAsia" w:hAnsiTheme="minorEastAsia"/>
                <w:kern w:val="0"/>
                <w:szCs w:val="21"/>
                <w:shd w:val="clear" w:color="auto" w:fill="auto"/>
                <w:lang w:val="en-US" w:eastAsia="zh-CN"/>
              </w:rPr>
              <w:t>22.7.17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第3次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jc w:val="center"/>
              <w:rPr>
                <w:rFonts w:hint="eastAsia" w:ascii="宋体" w:hAnsi="宋体" w:eastAsia="宋体" w:cs="宋体"/>
                <w:bCs/>
                <w:sz w:val="15"/>
                <w:szCs w:val="15"/>
                <w:lang w:val="en-US" w:eastAsia="zh-CN"/>
              </w:rPr>
            </w:pPr>
            <w:r>
              <w:rPr>
                <w:rFonts w:hint="eastAsia" w:ascii="宋体" w:hAnsi="宋体" w:eastAsia="宋体" w:cs="宋体"/>
                <w:bCs/>
                <w:sz w:val="15"/>
                <w:szCs w:val="15"/>
              </w:rPr>
              <w:t>管理层</w:t>
            </w:r>
            <w:r>
              <w:rPr>
                <w:rFonts w:hint="eastAsia" w:ascii="宋体" w:hAnsi="宋体" w:eastAsia="宋体" w:cs="宋体"/>
                <w:bCs/>
                <w:sz w:val="15"/>
                <w:szCs w:val="15"/>
                <w:lang w:val="en-US" w:eastAsia="zh-CN"/>
              </w:rPr>
              <w:t>/</w:t>
            </w:r>
          </w:p>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ascii="宋体" w:hAnsi="宋体" w:eastAsia="宋体" w:cs="宋体"/>
                <w:bCs/>
                <w:sz w:val="15"/>
                <w:szCs w:val="15"/>
                <w:lang w:val="en-US" w:eastAsia="zh-CN"/>
              </w:rPr>
              <w:t>质量部/</w:t>
            </w:r>
            <w:r>
              <w:rPr>
                <w:rFonts w:hint="eastAsia" w:ascii="宋体" w:hAnsi="宋体" w:eastAsia="宋体" w:cs="宋体"/>
                <w:bCs/>
                <w:sz w:val="15"/>
                <w:szCs w:val="15"/>
              </w:rPr>
              <w:t>技术</w:t>
            </w:r>
            <w:r>
              <w:rPr>
                <w:rFonts w:hint="eastAsia" w:ascii="宋体" w:hAnsi="宋体" w:eastAsia="宋体" w:cs="宋体"/>
                <w:bCs/>
                <w:sz w:val="15"/>
                <w:szCs w:val="15"/>
                <w:lang w:val="en-US" w:eastAsia="zh-CN"/>
              </w:rPr>
              <w:t>部</w:t>
            </w:r>
            <w:r>
              <w:rPr>
                <w:rFonts w:hint="eastAsia" w:ascii="宋体" w:hAnsi="宋体" w:eastAsia="宋体" w:cs="宋体"/>
                <w:bCs/>
                <w:sz w:val="15"/>
                <w:szCs w:val="15"/>
                <w:lang w:eastAsia="zh-CN"/>
              </w:rPr>
              <w:t>、</w:t>
            </w:r>
            <w:r>
              <w:rPr>
                <w:rFonts w:hint="eastAsia" w:ascii="宋体" w:hAnsi="宋体" w:eastAsia="宋体" w:cs="宋体"/>
                <w:bCs/>
                <w:sz w:val="15"/>
                <w:szCs w:val="15"/>
                <w:lang w:val="en-US" w:eastAsia="zh-CN"/>
              </w:rPr>
              <w:t>生产部/</w:t>
            </w:r>
            <w:r>
              <w:rPr>
                <w:rFonts w:hint="eastAsia" w:ascii="宋体" w:hAnsi="宋体" w:eastAsia="宋体" w:cs="宋体"/>
                <w:bCs/>
                <w:sz w:val="15"/>
                <w:szCs w:val="15"/>
              </w:rPr>
              <w:t>办公室</w:t>
            </w:r>
            <w:r>
              <w:rPr>
                <w:rFonts w:hint="eastAsia" w:ascii="宋体" w:hAnsi="宋体" w:eastAsia="宋体" w:cs="宋体"/>
                <w:bCs/>
                <w:sz w:val="15"/>
                <w:szCs w:val="15"/>
                <w:lang w:val="en-US" w:eastAsia="zh-CN"/>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widowControl/>
        <w:spacing w:line="276" w:lineRule="auto"/>
        <w:rPr>
          <w:rFonts w:cs="宋体" w:asciiTheme="minorEastAsia" w:hAnsiTheme="minorEastAsia"/>
          <w:bCs/>
          <w:kern w:val="0"/>
          <w:szCs w:val="21"/>
        </w:rPr>
      </w:pPr>
    </w:p>
    <w:p>
      <w:pPr>
        <w:numPr>
          <w:ilvl w:val="0"/>
          <w:numId w:val="1"/>
        </w:numPr>
        <w:spacing w:line="360" w:lineRule="auto"/>
        <w:ind w:right="-512" w:rightChars="-244"/>
        <w:rPr>
          <w:rFonts w:hint="eastAsia" w:ascii="宋体" w:hAnsi="宋体"/>
          <w:sz w:val="24"/>
          <w:szCs w:val="24"/>
          <w:lang w:val="en-US" w:eastAsia="zh-CN"/>
        </w:rPr>
      </w:pP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为有效评价公司测量管理体系认证后</w:t>
      </w:r>
      <w:r>
        <w:rPr>
          <w:rFonts w:hint="eastAsia" w:ascii="宋体" w:hAnsi="宋体"/>
          <w:sz w:val="24"/>
          <w:szCs w:val="24"/>
          <w:lang w:val="en-US" w:eastAsia="zh-CN"/>
        </w:rPr>
        <w:t>一</w:t>
      </w:r>
      <w:r>
        <w:rPr>
          <w:rFonts w:hint="eastAsia" w:ascii="宋体" w:hAnsi="宋体"/>
          <w:sz w:val="24"/>
          <w:szCs w:val="24"/>
        </w:rPr>
        <w:t>年以来运行情况，在大庆市聚通祥机械设备有限公司现场审核中，审核组先、后抽样检查了涉及公司测量体系内的、生产、经营、质量和环境等方面的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w:t>
      </w:r>
      <w:r>
        <w:rPr>
          <w:rFonts w:hint="eastAsia" w:ascii="宋体" w:hAnsi="宋体"/>
          <w:bCs/>
          <w:sz w:val="24"/>
          <w:szCs w:val="24"/>
        </w:rPr>
        <w:t>大庆市聚通祥机械设备</w:t>
      </w:r>
      <w:r>
        <w:rPr>
          <w:rFonts w:hint="eastAsia" w:ascii="宋体" w:hAnsi="宋体"/>
          <w:bCs/>
          <w:sz w:val="24"/>
          <w:szCs w:val="24"/>
          <w:lang w:val="en-US" w:eastAsia="zh-CN"/>
        </w:rPr>
        <w:t>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6</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21</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5</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25</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管理者代表杨立影</w:t>
      </w:r>
      <w:bookmarkStart w:id="1" w:name="_GoBack"/>
      <w:bookmarkEnd w:id="1"/>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snapToGrid w:val="0"/>
        <w:spacing w:line="360" w:lineRule="auto"/>
        <w:ind w:right="-512" w:rightChars="-244"/>
        <w:rPr>
          <w:sz w:val="24"/>
          <w:szCs w:val="24"/>
        </w:rPr>
      </w:pPr>
      <w:r>
        <w:rPr>
          <w:rFonts w:hint="eastAsia" w:asciiTheme="minorEastAsia" w:hAnsiTheme="minorEastAsia"/>
          <w:bCs/>
          <w:szCs w:val="21"/>
        </w:rPr>
        <w:t>4.为</w:t>
      </w:r>
      <w:r>
        <w:rPr>
          <w:rFonts w:hint="eastAsia"/>
          <w:sz w:val="24"/>
          <w:szCs w:val="24"/>
          <w:lang w:val="en-US" w:eastAsia="zh-CN"/>
        </w:rPr>
        <w:t>持续改进而策划的活动的进展 ，包括：企业对已识别的</w:t>
      </w:r>
      <w:r>
        <w:rPr>
          <w:rFonts w:hint="eastAsia"/>
        </w:rPr>
        <w:t>轴套内径测量</w:t>
      </w:r>
      <w:r>
        <w:rPr>
          <w:rFonts w:hint="eastAsia"/>
          <w:sz w:val="24"/>
          <w:szCs w:val="24"/>
          <w:lang w:val="en-US" w:eastAsia="zh-CN"/>
        </w:rPr>
        <w:t>测</w:t>
      </w:r>
      <w:r>
        <w:rPr>
          <w:rFonts w:hint="eastAsia"/>
          <w:lang w:val="en-US" w:eastAsia="zh-CN"/>
        </w:rPr>
        <w:t>量</w:t>
      </w:r>
      <w:r>
        <w:rPr>
          <w:rFonts w:hint="eastAsia"/>
          <w:sz w:val="24"/>
          <w:szCs w:val="24"/>
          <w:lang w:val="en-US" w:eastAsia="zh-CN"/>
        </w:rPr>
        <w:t>过程，按测量过程控制规范，进行了有效性监视。记录、监视，控制图齐全，完整</w:t>
      </w:r>
      <w:r>
        <w:rPr>
          <w:rFonts w:hint="eastAsia" w:ascii="宋体" w:hAnsi="宋体" w:cs="黑体"/>
          <w:sz w:val="24"/>
          <w:szCs w:val="24"/>
          <w:shd w:val="clear" w:color="auto" w:fill="auto"/>
        </w:rPr>
        <w:t>现场重点抽查了轴套内径测量不确定度评定方法正确。详见附件《不确定度评定报告》等不确定度评定报告。</w:t>
      </w:r>
      <w:r>
        <w:rPr>
          <w:rFonts w:hint="eastAsia"/>
          <w:sz w:val="24"/>
          <w:szCs w:val="24"/>
          <w:lang w:val="en-US" w:eastAsia="zh-CN"/>
        </w:rPr>
        <w:t>未见新增关键测量过程。</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rPr>
        <w:t>5.对认证审核时提出的的不符合项的纠正措施情况有表述：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公司对</w:t>
      </w:r>
      <w:r>
        <w:rPr>
          <w:rFonts w:hint="eastAsia" w:asciiTheme="minorEastAsia" w:hAnsiTheme="minorEastAsia"/>
          <w:bCs/>
          <w:sz w:val="24"/>
          <w:szCs w:val="24"/>
          <w:lang w:val="en-US" w:eastAsia="zh-CN"/>
        </w:rPr>
        <w:t>上年度监督审核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监督审核时已制</w:t>
      </w:r>
      <w:r>
        <w:rPr>
          <w:rFonts w:hint="eastAsia" w:asciiTheme="minorEastAsia" w:hAnsiTheme="minorEastAsia"/>
          <w:bCs/>
          <w:sz w:val="24"/>
          <w:szCs w:val="24"/>
        </w:rPr>
        <w:t>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，对公司的各类人员进行培训及对测量设备进行了认真检查，加强了对测量设备</w:t>
      </w:r>
      <w:r>
        <w:rPr>
          <w:rFonts w:hint="eastAsia" w:ascii="宋体" w:cs="宋体"/>
          <w:color w:val="000000" w:themeColor="text1"/>
          <w:kern w:val="0"/>
          <w:sz w:val="24"/>
          <w:szCs w:val="24"/>
          <w:lang w:val="en-US" w:eastAsia="zh-CN"/>
        </w:rPr>
        <w:t>管理采购保存等管理并受控，</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Theme="minorEastAsia" w:hAnsiTheme="minorEastAsia"/>
          <w:bCs/>
          <w:sz w:val="24"/>
          <w:szCs w:val="24"/>
          <w:lang w:val="en-US" w:eastAsia="zh-CN"/>
        </w:rPr>
        <w:t>上年度监督审核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cs="宋体" w:asciiTheme="minorEastAsia" w:hAnsiTheme="minorEastAsia"/>
          <w:kern w:val="0"/>
          <w:szCs w:val="21"/>
        </w:rPr>
      </w:pPr>
      <w:r>
        <w:rPr>
          <w:rFonts w:cs="宋体" w:asciiTheme="minorEastAsia" w:hAnsiTheme="minorEastAsia"/>
          <w:kern w:val="0"/>
          <w:szCs w:val="21"/>
        </w:rPr>
        <w:t> </w:t>
      </w:r>
    </w:p>
    <w:p>
      <w:pPr>
        <w:widowControl/>
        <w:numPr>
          <w:ilvl w:val="0"/>
          <w:numId w:val="2"/>
        </w:numPr>
        <w:spacing w:line="360" w:lineRule="auto"/>
        <w:rPr>
          <w:rFonts w:hint="eastAsia" w:ascii="宋体" w:hAnsi="宋体"/>
          <w:sz w:val="24"/>
          <w:szCs w:val="24"/>
        </w:rPr>
      </w:pP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spacing w:line="276" w:lineRule="auto"/>
        <w:rPr>
          <w:rFonts w:asciiTheme="minorEastAsia" w:hAnsiTheme="minorEastAsia"/>
          <w:bCs/>
          <w:szCs w:val="21"/>
        </w:rPr>
      </w:pPr>
    </w:p>
    <w:p>
      <w:pPr>
        <w:widowControl/>
        <w:numPr>
          <w:ilvl w:val="0"/>
          <w:numId w:val="2"/>
        </w:numPr>
        <w:spacing w:line="360" w:lineRule="auto"/>
        <w:ind w:left="0" w:leftChars="0" w:firstLine="0" w:firstLineChars="0"/>
        <w:rPr>
          <w:rFonts w:cs="宋体" w:asciiTheme="minorEastAsia" w:hAnsiTheme="minorEastAsia"/>
          <w:bCs/>
          <w:kern w:val="0"/>
          <w:sz w:val="24"/>
          <w:szCs w:val="24"/>
        </w:rPr>
      </w:pP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w:t>
      </w:r>
      <w:r>
        <w:rPr>
          <w:rFonts w:hint="eastAsia" w:ascii="宋体" w:hAnsi="宋体"/>
          <w:bCs/>
          <w:sz w:val="24"/>
          <w:szCs w:val="24"/>
          <w:lang w:val="en-US" w:eastAsia="zh-CN"/>
        </w:rPr>
        <w:t>20</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ilvl w:val="0"/>
          <w:numId w:val="2"/>
        </w:numPr>
        <w:snapToGrid w:val="0"/>
        <w:spacing w:line="360" w:lineRule="auto"/>
        <w:ind w:left="0" w:leftChars="0" w:right="-512" w:rightChars="-244"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对企业组织任何变更的审核   企业组织无变化。企业法人发生变化变为朱旭峰，其它无变化，测量管理体系认证范围无变化，符合要求。</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9.标志的使用和（或）任何其他对认证资格引用的情况：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keepNext w:val="0"/>
        <w:keepLines w:val="0"/>
        <w:widowControl/>
        <w:suppressLineNumbers w:val="0"/>
        <w:jc w:val="left"/>
        <w:rPr>
          <w:rFonts w:hint="eastAsia" w:ascii="宋体" w:hAnsi="宋体"/>
          <w:sz w:val="24"/>
          <w:szCs w:val="24"/>
          <w:highlight w:val="none"/>
          <w:shd w:val="clear" w:color="auto" w:fill="auto"/>
          <w:lang w:val="en-US" w:eastAsia="zh-CN"/>
        </w:rPr>
      </w:pPr>
      <w:r>
        <w:rPr>
          <w:rFonts w:hint="eastAsia" w:ascii="宋体" w:hAnsi="宋体"/>
          <w:sz w:val="24"/>
          <w:szCs w:val="24"/>
          <w:highlight w:val="none"/>
          <w:shd w:val="clear" w:color="auto" w:fill="auto"/>
        </w:rPr>
        <w:t xml:space="preserve">本次审核共出具一般不符合项 </w:t>
      </w:r>
      <w:r>
        <w:rPr>
          <w:rFonts w:hint="eastAsia" w:ascii="宋体" w:hAnsi="宋体"/>
          <w:sz w:val="24"/>
          <w:szCs w:val="24"/>
          <w:highlight w:val="none"/>
          <w:shd w:val="clear" w:color="auto" w:fill="auto"/>
          <w:lang w:val="en-US" w:eastAsia="zh-CN"/>
        </w:rPr>
        <w:t>1</w:t>
      </w:r>
      <w:r>
        <w:rPr>
          <w:rFonts w:hint="eastAsia" w:ascii="宋体" w:hAnsi="宋体"/>
          <w:sz w:val="24"/>
          <w:szCs w:val="24"/>
          <w:highlight w:val="none"/>
          <w:shd w:val="clear" w:color="auto" w:fill="auto"/>
        </w:rPr>
        <w:t>项，未发现严重或系统性的不符合情况。</w:t>
      </w:r>
      <w:r>
        <w:rPr>
          <w:rFonts w:hint="eastAsia" w:ascii="宋体" w:hAnsi="宋体"/>
          <w:sz w:val="24"/>
          <w:szCs w:val="24"/>
          <w:highlight w:val="none"/>
          <w:shd w:val="clear" w:color="auto" w:fill="auto"/>
          <w:lang w:val="en-US" w:eastAsia="zh-CN"/>
        </w:rPr>
        <w:t>在办公室没有制定2020年人员年度培训计划，（计量职能的管理者应确保提供培训以满足已识别的需要，保存培训活动的记录，评价格训的有效性并予 以记录。）</w:t>
      </w:r>
      <w:r>
        <w:rPr>
          <w:rFonts w:hint="eastAsia" w:ascii="宋体" w:hAnsi="宋体"/>
          <w:sz w:val="24"/>
          <w:szCs w:val="24"/>
          <w:highlight w:val="none"/>
          <w:shd w:val="clear" w:color="auto" w:fill="auto"/>
        </w:rPr>
        <w:t>不符合认证</w:t>
      </w:r>
      <w:r>
        <w:rPr>
          <w:rFonts w:hint="eastAsia" w:ascii="宋体" w:hAnsi="宋体"/>
          <w:sz w:val="24"/>
          <w:szCs w:val="24"/>
          <w:highlight w:val="none"/>
          <w:shd w:val="clear" w:color="auto" w:fill="auto"/>
          <w:lang w:val="zh-CN"/>
        </w:rPr>
        <w:t>审核准则</w:t>
      </w:r>
      <w:r>
        <w:rPr>
          <w:rFonts w:hint="eastAsia" w:ascii="宋体" w:hAnsi="宋体"/>
          <w:sz w:val="24"/>
          <w:szCs w:val="24"/>
          <w:highlight w:val="none"/>
          <w:shd w:val="clear" w:color="auto" w:fill="auto"/>
        </w:rPr>
        <w:t>条款号：___GB/T19022-2003标准</w:t>
      </w:r>
      <w:r>
        <w:rPr>
          <w:rFonts w:hint="eastAsia" w:ascii="宋体" w:hAnsi="宋体"/>
          <w:sz w:val="24"/>
          <w:szCs w:val="24"/>
          <w:highlight w:val="none"/>
          <w:shd w:val="clear" w:color="auto" w:fill="auto"/>
          <w:lang w:val="en-US" w:eastAsia="zh-CN"/>
        </w:rPr>
        <w:t>6.1.2</w:t>
      </w:r>
      <w:r>
        <w:rPr>
          <w:rFonts w:hint="eastAsia" w:ascii="宋体" w:hAnsi="宋体"/>
          <w:sz w:val="24"/>
          <w:szCs w:val="24"/>
          <w:highlight w:val="none"/>
          <w:shd w:val="clear" w:color="auto" w:fill="auto"/>
        </w:rPr>
        <w:t>条款。</w:t>
      </w:r>
      <w:r>
        <w:rPr>
          <w:rFonts w:hint="eastAsia" w:ascii="宋体" w:hAnsi="宋体"/>
          <w:sz w:val="24"/>
          <w:szCs w:val="24"/>
          <w:highlight w:val="none"/>
          <w:shd w:val="clear" w:color="auto" w:fill="auto"/>
          <w:lang w:val="en-US" w:eastAsia="zh-CN"/>
        </w:rPr>
        <w:t>不符合要求。</w:t>
      </w:r>
    </w:p>
    <w:p>
      <w:pPr>
        <w:widowControl/>
        <w:spacing w:line="360" w:lineRule="auto"/>
        <w:ind w:firstLine="480" w:firstLineChars="200"/>
        <w:jc w:val="left"/>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ascii="宋体" w:hAnsi="宋体" w:eastAsia="宋体" w:cs="Times New Roman"/>
          <w:sz w:val="24"/>
          <w:szCs w:val="24"/>
          <w:highlight w:val="none"/>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8</w:t>
      </w:r>
      <w:r>
        <w:rPr>
          <w:rStyle w:val="11"/>
          <w:rFonts w:ascii="宋体" w:hAnsi="宋体" w:eastAsia="宋体"/>
          <w:sz w:val="24"/>
          <w:szCs w:val="24"/>
        </w:rPr>
        <w:t>月</w:t>
      </w:r>
      <w:r>
        <w:rPr>
          <w:rStyle w:val="11"/>
          <w:rFonts w:hint="eastAsia" w:ascii="宋体" w:hAnsi="宋体" w:eastAsia="宋体"/>
          <w:sz w:val="24"/>
          <w:szCs w:val="24"/>
          <w:lang w:val="en-US" w:eastAsia="zh-CN"/>
        </w:rPr>
        <w:t>10</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Fonts w:hint="eastAsia" w:asciiTheme="minorEastAsia" w:hAnsiTheme="minorEastAsia"/>
          <w:bCs/>
          <w:sz w:val="24"/>
          <w:szCs w:val="24"/>
        </w:rPr>
        <w:t>大庆市聚通祥机械设备有限公</w:t>
      </w:r>
      <w:r>
        <w:rPr>
          <w:rStyle w:val="11"/>
          <w:rFonts w:hint="eastAsia" w:ascii="宋体" w:hAnsi="宋体" w:eastAsia="宋体"/>
          <w:sz w:val="24"/>
          <w:szCs w:val="24"/>
        </w:rPr>
        <w:t>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第3次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ascii="宋体" w:hAnsi="宋体"/>
          <w:szCs w:val="21"/>
        </w:rPr>
        <w:t>用能单位的能源计量器具准确度等级</w:t>
      </w:r>
      <w:r>
        <w:rPr>
          <w:rFonts w:hint="eastAsia" w:ascii="宋体" w:hAnsi="宋体"/>
          <w:szCs w:val="21"/>
        </w:rPr>
        <w:t>：</w:t>
      </w:r>
      <w:r>
        <w:rPr>
          <w:rFonts w:hint="eastAsia"/>
          <w:szCs w:val="21"/>
        </w:rPr>
        <w:t>2.0级的三相四线电能表1块和2</w:t>
      </w:r>
      <w:r>
        <w:rPr>
          <w:rFonts w:hint="eastAsia"/>
          <w:szCs w:val="21"/>
          <w:lang w:val="en-US" w:eastAsia="zh-CN"/>
        </w:rPr>
        <w:t>.5</w:t>
      </w:r>
      <w:r>
        <w:rPr>
          <w:rFonts w:hint="eastAsia"/>
          <w:szCs w:val="21"/>
        </w:rPr>
        <w:t>级的水表1块，</w:t>
      </w:r>
      <w:r>
        <w:rPr>
          <w:rFonts w:ascii="宋体" w:hAnsi="宋体"/>
          <w:szCs w:val="21"/>
        </w:rPr>
        <w:t>满足GB17167标准4.3.8表4</w:t>
      </w:r>
      <w:r>
        <w:rPr>
          <w:rFonts w:hint="eastAsia" w:ascii="宋体" w:hAnsi="宋体"/>
          <w:szCs w:val="21"/>
        </w:rPr>
        <w:t>的</w:t>
      </w:r>
      <w:r>
        <w:rPr>
          <w:rFonts w:ascii="宋体" w:hAnsi="宋体"/>
          <w:szCs w:val="21"/>
        </w:rPr>
        <w:t>要求</w:t>
      </w:r>
      <w:r>
        <w:rPr>
          <w:rFonts w:hint="eastAsia"/>
          <w:szCs w:val="21"/>
        </w:rPr>
        <w:t xml:space="preserve">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w:t>
      </w:r>
      <w:r>
        <w:rPr>
          <w:rFonts w:hint="eastAsia" w:ascii="宋体" w:hAnsi="宋体"/>
          <w:sz w:val="24"/>
          <w:szCs w:val="24"/>
          <w:lang w:eastAsia="zh-CN"/>
        </w:rPr>
        <w:t>。</w:t>
      </w:r>
      <w:r>
        <w:rPr>
          <w:rFonts w:hint="eastAsia" w:ascii="宋体" w:hAnsi="宋体"/>
          <w:sz w:val="24"/>
          <w:szCs w:val="24"/>
        </w:rPr>
        <w:t>能源数据每月抄表，能源报表数据可追溯到现场测试记录，满</w:t>
      </w:r>
      <w:r>
        <w:rPr>
          <w:rFonts w:hint="eastAsia" w:ascii="宋体" w:hAnsi="宋体"/>
          <w:sz w:val="24"/>
          <w:szCs w:val="24"/>
          <w:shd w:val="clear" w:color="auto" w:fill="auto"/>
        </w:rPr>
        <w:t>足要求。综上所述，</w:t>
      </w:r>
      <w:r>
        <w:rPr>
          <w:rFonts w:hint="eastAsia" w:ascii="宋体" w:hAnsi="宋体"/>
          <w:sz w:val="24"/>
          <w:szCs w:val="24"/>
        </w:rPr>
        <w:t>审核组认为</w:t>
      </w:r>
      <w:r>
        <w:rPr>
          <w:rFonts w:hint="eastAsia" w:ascii="宋体" w:hAnsi="宋体"/>
          <w:sz w:val="24"/>
          <w:szCs w:val="24"/>
          <w:shd w:val="clear" w:color="auto" w:fill="auto"/>
        </w:rPr>
        <w:t>大庆市聚通祥机械设备有限公</w:t>
      </w:r>
      <w:r>
        <w:rPr>
          <w:rStyle w:val="11"/>
          <w:rFonts w:hint="eastAsia" w:ascii="宋体" w:hAnsi="宋体" w:eastAsia="宋体"/>
          <w:sz w:val="24"/>
          <w:szCs w:val="24"/>
        </w:rPr>
        <w:t>司</w:t>
      </w:r>
      <w:r>
        <w:rPr>
          <w:rFonts w:hint="eastAsia" w:ascii="宋体" w:hAnsi="宋体"/>
          <w:sz w:val="24"/>
          <w:szCs w:val="24"/>
        </w:rPr>
        <w:t>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hint="eastAsia" w:ascii="宋体" w:hAnsi="宋体" w:eastAsia="宋体" w:cs="宋体"/>
          <w:kern w:val="0"/>
          <w:szCs w:val="28"/>
          <w:lang w:val="en-US" w:eastAsia="zh-CN"/>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abstractNum w:abstractNumId="1">
    <w:nsid w:val="6E048769"/>
    <w:multiLevelType w:val="singleLevel"/>
    <w:tmpl w:val="6E048769"/>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3951849"/>
    <w:rsid w:val="08B56478"/>
    <w:rsid w:val="0BF45514"/>
    <w:rsid w:val="0CB970B4"/>
    <w:rsid w:val="0E8C5939"/>
    <w:rsid w:val="138501A6"/>
    <w:rsid w:val="14575BEE"/>
    <w:rsid w:val="14EA6CB3"/>
    <w:rsid w:val="1D5E1F47"/>
    <w:rsid w:val="1D9A2E7B"/>
    <w:rsid w:val="23881FD2"/>
    <w:rsid w:val="267B10B4"/>
    <w:rsid w:val="27554591"/>
    <w:rsid w:val="28255ACB"/>
    <w:rsid w:val="28826509"/>
    <w:rsid w:val="308C462A"/>
    <w:rsid w:val="31DB01B3"/>
    <w:rsid w:val="37774C67"/>
    <w:rsid w:val="3BB67694"/>
    <w:rsid w:val="3EC25B56"/>
    <w:rsid w:val="49C14E74"/>
    <w:rsid w:val="4A8A2F7C"/>
    <w:rsid w:val="4F757019"/>
    <w:rsid w:val="4FF60B62"/>
    <w:rsid w:val="51C16409"/>
    <w:rsid w:val="533E0E08"/>
    <w:rsid w:val="547533AA"/>
    <w:rsid w:val="55C92FC9"/>
    <w:rsid w:val="56896C6B"/>
    <w:rsid w:val="58082CF0"/>
    <w:rsid w:val="5896057E"/>
    <w:rsid w:val="5BA410AD"/>
    <w:rsid w:val="5F1C7C1A"/>
    <w:rsid w:val="5FCA3BA5"/>
    <w:rsid w:val="61A667FC"/>
    <w:rsid w:val="63EF48F4"/>
    <w:rsid w:val="67D506DB"/>
    <w:rsid w:val="693568F0"/>
    <w:rsid w:val="6CF336B5"/>
    <w:rsid w:val="707F0D4F"/>
    <w:rsid w:val="740323E8"/>
    <w:rsid w:val="74832446"/>
    <w:rsid w:val="74B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23</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2020-08-11T01:34:51Z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