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sz w:val="36"/>
          <w:szCs w:val="36"/>
        </w:rPr>
      </w:pPr>
      <w:r>
        <w:rPr>
          <w:rFonts w:hint="eastAsia" w:ascii="隶书" w:hAnsi="宋体" w:eastAsia="隶书"/>
          <w:bCs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受审核部门：行政部（含财务）    负责人：陈利 陪同：陈利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审核员：张鹏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杨杰（实习）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                  审核时间： 20</w:t>
            </w:r>
            <w:r>
              <w:rPr>
                <w:sz w:val="24"/>
                <w:szCs w:val="24"/>
              </w:rPr>
              <w:t>20.</w:t>
            </w:r>
            <w:r>
              <w:rPr>
                <w:rFonts w:hint="eastAsia"/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宋体"/>
                <w:sz w:val="20"/>
              </w:rPr>
              <w:t xml:space="preserve"> EO 6.1.2/6.1.3/6.2.2/7.5/8.2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环境因素、危险源的识别评价情况，</w:t>
            </w:r>
          </w:p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合规义务、适用法律法规识别的充分性及合规性评价情况，</w:t>
            </w:r>
          </w:p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</w:p>
          <w:p>
            <w:pPr>
              <w:pStyle w:val="2"/>
            </w:pPr>
          </w:p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目标、指标及管理方案的可行性；</w:t>
            </w:r>
          </w:p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br w:type="textWrapping"/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应急准备及响应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  <w:r>
              <w:rPr>
                <w:rFonts w:hint="eastAsia"/>
              </w:rPr>
              <w:t>资金投入情况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/>
        </w:tc>
        <w:tc>
          <w:tcPr>
            <w:tcW w:w="960" w:type="dxa"/>
          </w:tcPr>
          <w:p>
            <w:pPr>
              <w:pStyle w:val="2"/>
            </w:pPr>
            <w:r>
              <w:rPr>
                <w:rFonts w:hint="eastAsia" w:ascii="宋体" w:hAnsi="宋体" w:cs="宋体"/>
                <w:sz w:val="20"/>
              </w:rPr>
              <w:t>EO 6.1.2/6.1.3/6.2.2/7.5/8.2</w:t>
            </w:r>
          </w:p>
        </w:tc>
        <w:tc>
          <w:tcPr>
            <w:tcW w:w="10004" w:type="dxa"/>
          </w:tcPr>
          <w:p>
            <w:pPr>
              <w:pStyle w:val="2"/>
            </w:pPr>
            <w:r>
              <w:rPr>
                <w:rFonts w:hint="eastAsia"/>
              </w:rPr>
              <w:t>行政部提供了公司的环境因素识别与评价清单，共识别出环境因素</w:t>
            </w:r>
            <w:r>
              <w:t>17</w:t>
            </w:r>
            <w:r>
              <w:rPr>
                <w:rFonts w:hint="eastAsia"/>
              </w:rPr>
              <w:t>条，包括固体废弃物、潜在火灾等，其中4条环境因素被评为重要环境因素。其余评价结果均为一般环境因素。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bCs/>
                <w:spacing w:val="10"/>
              </w:rPr>
            </w:pPr>
            <w:r>
              <w:rPr>
                <w:rFonts w:hint="eastAsia"/>
                <w:bCs/>
                <w:spacing w:val="10"/>
                <w:sz w:val="21"/>
                <w:szCs w:val="20"/>
              </w:rPr>
              <w:t>行政部提供了“重要环境因素清单”</w:t>
            </w:r>
          </w:p>
          <w:p>
            <w:pPr>
              <w:rPr>
                <w:bCs/>
                <w:spacing w:val="10"/>
              </w:rPr>
            </w:pPr>
            <w:r>
              <w:rPr>
                <w:rFonts w:hint="eastAsia"/>
                <w:bCs/>
                <w:spacing w:val="10"/>
              </w:rPr>
              <w:t>1. 噪声</w:t>
            </w:r>
          </w:p>
          <w:p>
            <w:pPr>
              <w:rPr>
                <w:bCs/>
                <w:spacing w:val="10"/>
              </w:rPr>
            </w:pPr>
            <w:r>
              <w:rPr>
                <w:rFonts w:hint="eastAsia"/>
                <w:bCs/>
                <w:spacing w:val="10"/>
              </w:rPr>
              <w:t>2. 固体废弃物</w:t>
            </w:r>
          </w:p>
          <w:p>
            <w:pPr>
              <w:rPr>
                <w:bCs/>
                <w:spacing w:val="10"/>
              </w:rPr>
            </w:pPr>
            <w:r>
              <w:rPr>
                <w:rFonts w:hint="eastAsia"/>
                <w:bCs/>
                <w:spacing w:val="10"/>
              </w:rPr>
              <w:t>3</w:t>
            </w:r>
            <w:r>
              <w:rPr>
                <w:bCs/>
                <w:spacing w:val="10"/>
              </w:rPr>
              <w:t xml:space="preserve">. </w:t>
            </w:r>
            <w:r>
              <w:rPr>
                <w:rFonts w:hint="eastAsia"/>
                <w:bCs/>
                <w:spacing w:val="10"/>
              </w:rPr>
              <w:t>废气</w:t>
            </w:r>
          </w:p>
          <w:p>
            <w:pPr>
              <w:rPr>
                <w:bCs/>
                <w:spacing w:val="10"/>
              </w:rPr>
            </w:pPr>
            <w:r>
              <w:rPr>
                <w:rFonts w:hint="eastAsia"/>
                <w:bCs/>
                <w:spacing w:val="10"/>
              </w:rPr>
              <w:t>4</w:t>
            </w:r>
            <w:r>
              <w:rPr>
                <w:bCs/>
                <w:spacing w:val="10"/>
              </w:rPr>
              <w:t xml:space="preserve">. </w:t>
            </w:r>
            <w:r>
              <w:rPr>
                <w:rFonts w:hint="eastAsia"/>
                <w:bCs/>
                <w:spacing w:val="10"/>
              </w:rPr>
              <w:t>废水</w:t>
            </w:r>
          </w:p>
          <w:p>
            <w:pPr>
              <w:pStyle w:val="2"/>
            </w:pPr>
          </w:p>
          <w:p>
            <w:pPr>
              <w:pStyle w:val="2"/>
            </w:pPr>
            <w:r>
              <w:rPr>
                <w:rFonts w:hint="eastAsia"/>
              </w:rPr>
              <w:t>行政部提供了公司的危险源辨识与评价表，共识别出危险源2</w:t>
            </w:r>
            <w:r>
              <w:t>2</w:t>
            </w:r>
            <w:r>
              <w:rPr>
                <w:rFonts w:hint="eastAsia"/>
              </w:rPr>
              <w:t>条，包括设备绝缘失灵、电线电缆老化等致人触电、材料飞出对人体伤害等。评价出</w:t>
            </w:r>
            <w:r>
              <w:t>10</w:t>
            </w:r>
            <w:r>
              <w:rPr>
                <w:rFonts w:hint="eastAsia"/>
              </w:rPr>
              <w:t>条为不可接受风险。其余为一般危险源。</w:t>
            </w: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行政部提供了“不可接受风险清单”</w:t>
            </w:r>
          </w:p>
          <w:p>
            <w:pPr>
              <w:rPr>
                <w:bCs/>
                <w:spacing w:val="10"/>
              </w:rPr>
            </w:pPr>
            <w:r>
              <w:rPr>
                <w:rFonts w:hint="eastAsia"/>
                <w:bCs/>
                <w:spacing w:val="10"/>
              </w:rPr>
              <w:t>1</w:t>
            </w:r>
            <w:r>
              <w:rPr>
                <w:rFonts w:hint="eastAsia"/>
                <w:bCs/>
                <w:spacing w:val="10"/>
              </w:rPr>
              <w:tab/>
            </w:r>
            <w:r>
              <w:rPr>
                <w:rFonts w:hint="eastAsia"/>
                <w:bCs/>
                <w:spacing w:val="10"/>
              </w:rPr>
              <w:t>触电</w:t>
            </w:r>
          </w:p>
          <w:p>
            <w:pPr>
              <w:rPr>
                <w:bCs/>
                <w:spacing w:val="10"/>
              </w:rPr>
            </w:pPr>
            <w:r>
              <w:rPr>
                <w:rFonts w:hint="eastAsia"/>
                <w:bCs/>
                <w:spacing w:val="10"/>
              </w:rPr>
              <w:t>2</w:t>
            </w:r>
            <w:r>
              <w:rPr>
                <w:rFonts w:hint="eastAsia"/>
                <w:bCs/>
                <w:spacing w:val="10"/>
              </w:rPr>
              <w:tab/>
            </w:r>
            <w:r>
              <w:rPr>
                <w:rFonts w:hint="eastAsia"/>
                <w:bCs/>
                <w:spacing w:val="10"/>
              </w:rPr>
              <w:t>火灾</w:t>
            </w:r>
          </w:p>
          <w:p>
            <w:pPr>
              <w:rPr>
                <w:bCs/>
                <w:spacing w:val="10"/>
              </w:rPr>
            </w:pPr>
            <w:r>
              <w:rPr>
                <w:rFonts w:hint="eastAsia"/>
                <w:bCs/>
                <w:spacing w:val="10"/>
              </w:rPr>
              <w:t>3</w:t>
            </w:r>
            <w:r>
              <w:rPr>
                <w:rFonts w:hint="eastAsia"/>
                <w:bCs/>
                <w:spacing w:val="10"/>
              </w:rPr>
              <w:tab/>
            </w:r>
            <w:r>
              <w:rPr>
                <w:rFonts w:hint="eastAsia"/>
                <w:bCs/>
                <w:spacing w:val="10"/>
              </w:rPr>
              <w:t>中暑和职业病</w:t>
            </w:r>
          </w:p>
          <w:p>
            <w:pPr>
              <w:rPr>
                <w:bCs/>
                <w:spacing w:val="10"/>
              </w:rPr>
            </w:pPr>
            <w:r>
              <w:rPr>
                <w:rFonts w:hint="eastAsia"/>
                <w:bCs/>
                <w:spacing w:val="10"/>
              </w:rPr>
              <w:t>4</w:t>
            </w:r>
            <w:r>
              <w:rPr>
                <w:rFonts w:hint="eastAsia"/>
                <w:bCs/>
                <w:spacing w:val="10"/>
              </w:rPr>
              <w:tab/>
            </w:r>
            <w:r>
              <w:rPr>
                <w:rFonts w:hint="eastAsia"/>
                <w:bCs/>
                <w:spacing w:val="10"/>
              </w:rPr>
              <w:t>摔伤、冻伤</w:t>
            </w:r>
          </w:p>
          <w:p>
            <w:pPr>
              <w:rPr>
                <w:bCs/>
                <w:spacing w:val="10"/>
              </w:rPr>
            </w:pPr>
            <w:r>
              <w:rPr>
                <w:rFonts w:hint="eastAsia"/>
                <w:bCs/>
                <w:spacing w:val="10"/>
              </w:rPr>
              <w:t>5</w:t>
            </w:r>
            <w:r>
              <w:rPr>
                <w:rFonts w:hint="eastAsia"/>
                <w:bCs/>
                <w:spacing w:val="10"/>
              </w:rPr>
              <w:tab/>
            </w:r>
            <w:r>
              <w:rPr>
                <w:rFonts w:hint="eastAsia"/>
                <w:bCs/>
                <w:spacing w:val="10"/>
              </w:rPr>
              <w:t>机械伤害、噪声伤害</w:t>
            </w:r>
          </w:p>
          <w:p>
            <w:pPr>
              <w:rPr>
                <w:bCs/>
                <w:spacing w:val="10"/>
              </w:rPr>
            </w:pPr>
            <w:r>
              <w:rPr>
                <w:rFonts w:hint="eastAsia"/>
                <w:bCs/>
                <w:spacing w:val="10"/>
              </w:rPr>
              <w:t>6</w:t>
            </w:r>
            <w:r>
              <w:rPr>
                <w:rFonts w:hint="eastAsia"/>
                <w:bCs/>
                <w:spacing w:val="10"/>
              </w:rPr>
              <w:tab/>
            </w:r>
            <w:r>
              <w:rPr>
                <w:rFonts w:hint="eastAsia"/>
                <w:bCs/>
                <w:spacing w:val="10"/>
              </w:rPr>
              <w:t>高出坠落、触电</w:t>
            </w:r>
          </w:p>
          <w:p>
            <w:pPr>
              <w:rPr>
                <w:bCs/>
                <w:spacing w:val="10"/>
              </w:rPr>
            </w:pPr>
            <w:r>
              <w:rPr>
                <w:rFonts w:hint="eastAsia"/>
                <w:bCs/>
                <w:spacing w:val="10"/>
              </w:rPr>
              <w:t>7</w:t>
            </w:r>
            <w:r>
              <w:rPr>
                <w:rFonts w:hint="eastAsia"/>
                <w:bCs/>
                <w:spacing w:val="10"/>
              </w:rPr>
              <w:tab/>
            </w:r>
            <w:r>
              <w:rPr>
                <w:rFonts w:hint="eastAsia"/>
                <w:bCs/>
                <w:spacing w:val="10"/>
              </w:rPr>
              <w:t>物体打击</w:t>
            </w:r>
          </w:p>
          <w:p>
            <w:pPr>
              <w:rPr>
                <w:bCs/>
                <w:spacing w:val="10"/>
              </w:rPr>
            </w:pPr>
            <w:r>
              <w:rPr>
                <w:rFonts w:hint="eastAsia"/>
                <w:bCs/>
                <w:spacing w:val="10"/>
              </w:rPr>
              <w:t>8</w:t>
            </w:r>
            <w:r>
              <w:rPr>
                <w:rFonts w:hint="eastAsia"/>
                <w:bCs/>
                <w:spacing w:val="10"/>
              </w:rPr>
              <w:tab/>
            </w:r>
            <w:r>
              <w:rPr>
                <w:rFonts w:hint="eastAsia"/>
                <w:bCs/>
                <w:spacing w:val="10"/>
              </w:rPr>
              <w:t>车辆伤害</w:t>
            </w:r>
          </w:p>
          <w:p>
            <w:pPr>
              <w:rPr>
                <w:bCs/>
                <w:spacing w:val="10"/>
              </w:rPr>
            </w:pPr>
            <w:r>
              <w:rPr>
                <w:rFonts w:hint="eastAsia"/>
                <w:bCs/>
                <w:spacing w:val="10"/>
              </w:rPr>
              <w:t>9</w:t>
            </w:r>
            <w:r>
              <w:rPr>
                <w:rFonts w:hint="eastAsia"/>
                <w:bCs/>
                <w:spacing w:val="10"/>
              </w:rPr>
              <w:tab/>
            </w:r>
            <w:r>
              <w:rPr>
                <w:rFonts w:hint="eastAsia"/>
                <w:bCs/>
                <w:spacing w:val="10"/>
              </w:rPr>
              <w:t>职业病、灼烫</w:t>
            </w:r>
          </w:p>
          <w:p>
            <w:pPr>
              <w:rPr>
                <w:bCs/>
                <w:spacing w:val="10"/>
              </w:rPr>
            </w:pPr>
            <w:r>
              <w:rPr>
                <w:rFonts w:hint="eastAsia"/>
                <w:bCs/>
                <w:spacing w:val="10"/>
              </w:rPr>
              <w:t>10</w:t>
            </w:r>
            <w:r>
              <w:rPr>
                <w:rFonts w:hint="eastAsia"/>
                <w:bCs/>
                <w:spacing w:val="10"/>
              </w:rPr>
              <w:tab/>
            </w:r>
            <w:r>
              <w:rPr>
                <w:rFonts w:hint="eastAsia"/>
                <w:bCs/>
                <w:spacing w:val="10"/>
              </w:rPr>
              <w:t>传染病</w:t>
            </w:r>
          </w:p>
          <w:p>
            <w:pPr>
              <w:pStyle w:val="2"/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行政部提供了环境和职业健康安全适用法律、法规及其它要求清单，清单中包括</w:t>
            </w:r>
            <w:r>
              <w:rPr>
                <w:szCs w:val="21"/>
              </w:rPr>
              <w:t>105</w:t>
            </w:r>
            <w:r>
              <w:rPr>
                <w:rFonts w:hint="eastAsia"/>
                <w:szCs w:val="21"/>
              </w:rPr>
              <w:t>条法律法规，提供了适用法律、法规及其它要求清单。</w:t>
            </w:r>
            <w:r>
              <w:rPr>
                <w:szCs w:val="21"/>
              </w:rPr>
              <w:t xml:space="preserve"> 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bCs/>
                <w:spacing w:val="10"/>
                <w:sz w:val="21"/>
                <w:szCs w:val="21"/>
              </w:rPr>
            </w:pPr>
            <w:r>
              <w:rPr>
                <w:rFonts w:hint="eastAsia"/>
                <w:bCs/>
                <w:spacing w:val="10"/>
                <w:sz w:val="21"/>
                <w:szCs w:val="21"/>
              </w:rPr>
              <w:t>行政部于20</w:t>
            </w:r>
            <w:r>
              <w:rPr>
                <w:bCs/>
                <w:spacing w:val="10"/>
                <w:sz w:val="21"/>
                <w:szCs w:val="21"/>
              </w:rPr>
              <w:t>20</w:t>
            </w:r>
            <w:r>
              <w:rPr>
                <w:rFonts w:hint="eastAsia"/>
                <w:bCs/>
                <w:spacing w:val="10"/>
                <w:sz w:val="21"/>
                <w:szCs w:val="21"/>
              </w:rPr>
              <w:t>年0</w:t>
            </w:r>
            <w:r>
              <w:rPr>
                <w:bCs/>
                <w:spacing w:val="10"/>
                <w:sz w:val="21"/>
                <w:szCs w:val="21"/>
              </w:rPr>
              <w:t>3</w:t>
            </w:r>
            <w:r>
              <w:rPr>
                <w:rFonts w:hint="eastAsia"/>
                <w:bCs/>
                <w:spacing w:val="10"/>
                <w:sz w:val="21"/>
                <w:szCs w:val="21"/>
              </w:rPr>
              <w:t>月2</w:t>
            </w:r>
            <w:r>
              <w:rPr>
                <w:bCs/>
                <w:spacing w:val="10"/>
                <w:sz w:val="21"/>
                <w:szCs w:val="21"/>
              </w:rPr>
              <w:t>0</w:t>
            </w:r>
            <w:r>
              <w:rPr>
                <w:rFonts w:hint="eastAsia"/>
                <w:bCs/>
                <w:spacing w:val="10"/>
                <w:sz w:val="21"/>
                <w:szCs w:val="21"/>
              </w:rPr>
              <w:t>日分别针对OHS和EMS对适用的法律法规符合性进行了评价，提供了2</w:t>
            </w:r>
            <w:r>
              <w:rPr>
                <w:bCs/>
                <w:spacing w:val="10"/>
                <w:sz w:val="21"/>
                <w:szCs w:val="21"/>
              </w:rPr>
              <w:t>020</w:t>
            </w:r>
            <w:r>
              <w:rPr>
                <w:rFonts w:hint="eastAsia"/>
                <w:bCs/>
                <w:spacing w:val="10"/>
                <w:sz w:val="21"/>
                <w:szCs w:val="21"/>
              </w:rPr>
              <w:t>年合规性评价记录。</w:t>
            </w: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  <w:r>
              <w:rPr>
                <w:rFonts w:hint="eastAsia"/>
              </w:rPr>
              <w:t>行政部提供了质量目标分解与实施表，涉及到质量环境安全目标</w:t>
            </w:r>
            <w:r>
              <w:t>7</w:t>
            </w:r>
            <w:r>
              <w:rPr>
                <w:rFonts w:hint="eastAsia"/>
              </w:rPr>
              <w:t>个，规定了分解部门，分解值与计算公式，考核频次为每季度。</w:t>
            </w:r>
          </w:p>
          <w:p>
            <w:pPr>
              <w:pStyle w:val="2"/>
            </w:pPr>
            <w:r>
              <w:rPr>
                <w:rFonts w:hint="eastAsia"/>
              </w:rPr>
              <w:t>目标均完成。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  <w:r>
              <w:rPr>
                <w:rFonts w:hint="eastAsia"/>
              </w:rPr>
              <w:t>行政部提供了环境管理方案，管理对象为重要环境因素，包括指标分解、负责人、实施时间和实施措施。</w:t>
            </w:r>
          </w:p>
          <w:p>
            <w:pPr>
              <w:rPr>
                <w:bCs/>
                <w:spacing w:val="10"/>
              </w:rPr>
            </w:pPr>
            <w:r>
              <w:rPr>
                <w:rFonts w:hint="eastAsia"/>
                <w:bCs/>
                <w:spacing w:val="10"/>
              </w:rPr>
              <w:t>行政部提供了职业健康安全调查表及管理方案，包括目标、预计完成时间、具体措施、负责人等。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行政部提供了企业的应急准备和响应年度预案和计划，详细规定了事故处理的流程等内容。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行政部提供了意外伤害应急演习记录，演练时间为2020.</w:t>
            </w:r>
            <w:r>
              <w:rPr>
                <w:rFonts w:ascii="Arial" w:hAnsi="Arial" w:cs="Arial"/>
              </w:rPr>
              <w:t>6.16-6</w:t>
            </w:r>
            <w:r>
              <w:rPr>
                <w:rFonts w:hint="eastAsia" w:ascii="Arial" w:hAnsi="Arial" w:cs="Arial"/>
              </w:rPr>
              <w:t>.20，演练人员为生技部、质检部、供销部、 行政部。提供了火灾演练记录，演练时间为20</w:t>
            </w:r>
            <w:r>
              <w:rPr>
                <w:rFonts w:ascii="Arial" w:hAnsi="Arial" w:cs="Arial"/>
              </w:rPr>
              <w:t>20.6.16</w:t>
            </w:r>
            <w:r>
              <w:rPr>
                <w:rFonts w:hint="eastAsia" w:ascii="Arial" w:hAnsi="Arial" w:cs="Arial"/>
              </w:rPr>
              <w:t>，演练人员为公司所有人员。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  <w:r>
              <w:rPr>
                <w:rFonts w:hint="eastAsia"/>
              </w:rPr>
              <w:t>行政部提供了2</w:t>
            </w:r>
            <w:r>
              <w:t>020</w:t>
            </w:r>
            <w:r>
              <w:rPr>
                <w:rFonts w:hint="eastAsia"/>
              </w:rPr>
              <w:t>年资金投入情况</w:t>
            </w:r>
          </w:p>
          <w:p>
            <w:pPr>
              <w:pStyle w:val="2"/>
            </w:pPr>
            <w:r>
              <w:rPr>
                <w:rFonts w:hint="eastAsia"/>
              </w:rPr>
              <w:t>序号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项目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投入资金</w:t>
            </w:r>
          </w:p>
          <w:p>
            <w:pPr>
              <w:pStyle w:val="2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劳保费用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2.1万</w:t>
            </w:r>
          </w:p>
          <w:p>
            <w:pPr>
              <w:pStyle w:val="2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仪器、仪表、量具检测费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0.8万</w:t>
            </w:r>
          </w:p>
          <w:p>
            <w:pPr>
              <w:pStyle w:val="2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标志、标识牌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0.4万</w:t>
            </w:r>
          </w:p>
          <w:p>
            <w:pPr>
              <w:pStyle w:val="2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体系认证、环境、职业健康安全资金投入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5.5万</w:t>
            </w:r>
          </w:p>
          <w:p>
            <w:pPr>
              <w:pStyle w:val="2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水、电费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3.4万</w:t>
            </w:r>
          </w:p>
          <w:p>
            <w:pPr>
              <w:pStyle w:val="2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汽车、人员保险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26.3万</w:t>
            </w:r>
          </w:p>
          <w:p>
            <w:pPr>
              <w:pStyle w:val="2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体检费用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0.9万</w:t>
            </w:r>
          </w:p>
          <w:p>
            <w:pPr>
              <w:pStyle w:val="2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生活垃圾清运费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1.2万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rPr>
                <w:rStyle w:val="14"/>
                <w:rFonts w:ascii="Arial" w:hAnsi="Arial" w:cs="Arial"/>
              </w:rPr>
            </w:pPr>
          </w:p>
          <w:p>
            <w:pPr>
              <w:widowControl/>
              <w:spacing w:line="400" w:lineRule="exact"/>
              <w:jc w:val="left"/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具备二阶段审核的条件</w:t>
            </w: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2050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ISC-B-I-08 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3373A"/>
    <w:rsid w:val="000701FD"/>
    <w:rsid w:val="000A0AE0"/>
    <w:rsid w:val="000B7C37"/>
    <w:rsid w:val="00160CB8"/>
    <w:rsid w:val="001746DD"/>
    <w:rsid w:val="00195F4E"/>
    <w:rsid w:val="001A2D7F"/>
    <w:rsid w:val="001F6E09"/>
    <w:rsid w:val="00231EEC"/>
    <w:rsid w:val="00237E98"/>
    <w:rsid w:val="0027351F"/>
    <w:rsid w:val="00276220"/>
    <w:rsid w:val="002B1259"/>
    <w:rsid w:val="002C6853"/>
    <w:rsid w:val="002F7F21"/>
    <w:rsid w:val="003009D2"/>
    <w:rsid w:val="00323086"/>
    <w:rsid w:val="00337922"/>
    <w:rsid w:val="00340867"/>
    <w:rsid w:val="00361332"/>
    <w:rsid w:val="00380837"/>
    <w:rsid w:val="00410914"/>
    <w:rsid w:val="00447A1D"/>
    <w:rsid w:val="004D01D7"/>
    <w:rsid w:val="004D0F63"/>
    <w:rsid w:val="005053BA"/>
    <w:rsid w:val="00516059"/>
    <w:rsid w:val="00536930"/>
    <w:rsid w:val="0054499A"/>
    <w:rsid w:val="00550B37"/>
    <w:rsid w:val="00564E53"/>
    <w:rsid w:val="00565F5C"/>
    <w:rsid w:val="00576F3D"/>
    <w:rsid w:val="005E6B56"/>
    <w:rsid w:val="00644FE2"/>
    <w:rsid w:val="00647705"/>
    <w:rsid w:val="00652D02"/>
    <w:rsid w:val="00662105"/>
    <w:rsid w:val="0066389F"/>
    <w:rsid w:val="0067002F"/>
    <w:rsid w:val="0067640C"/>
    <w:rsid w:val="00684747"/>
    <w:rsid w:val="00697921"/>
    <w:rsid w:val="006A24C0"/>
    <w:rsid w:val="006E678B"/>
    <w:rsid w:val="00703DF7"/>
    <w:rsid w:val="007161FC"/>
    <w:rsid w:val="00771141"/>
    <w:rsid w:val="007757F3"/>
    <w:rsid w:val="007B4185"/>
    <w:rsid w:val="007E1F32"/>
    <w:rsid w:val="007E63CD"/>
    <w:rsid w:val="007E6AEB"/>
    <w:rsid w:val="007F2191"/>
    <w:rsid w:val="008038DD"/>
    <w:rsid w:val="00857C0F"/>
    <w:rsid w:val="008973EE"/>
    <w:rsid w:val="008A1880"/>
    <w:rsid w:val="008C2232"/>
    <w:rsid w:val="008C5B7C"/>
    <w:rsid w:val="008F6209"/>
    <w:rsid w:val="009032FA"/>
    <w:rsid w:val="00906526"/>
    <w:rsid w:val="00931660"/>
    <w:rsid w:val="00960D4A"/>
    <w:rsid w:val="00964913"/>
    <w:rsid w:val="00971600"/>
    <w:rsid w:val="009973B4"/>
    <w:rsid w:val="009A6F40"/>
    <w:rsid w:val="009E5C8E"/>
    <w:rsid w:val="009F7EED"/>
    <w:rsid w:val="00A059FF"/>
    <w:rsid w:val="00A160D6"/>
    <w:rsid w:val="00A2434D"/>
    <w:rsid w:val="00A51527"/>
    <w:rsid w:val="00A551B2"/>
    <w:rsid w:val="00A878FB"/>
    <w:rsid w:val="00AF0AAB"/>
    <w:rsid w:val="00B4675E"/>
    <w:rsid w:val="00B96726"/>
    <w:rsid w:val="00BA2CFB"/>
    <w:rsid w:val="00BC1010"/>
    <w:rsid w:val="00BF04F3"/>
    <w:rsid w:val="00BF597E"/>
    <w:rsid w:val="00C156D1"/>
    <w:rsid w:val="00C22D27"/>
    <w:rsid w:val="00C37C07"/>
    <w:rsid w:val="00C51A36"/>
    <w:rsid w:val="00C55228"/>
    <w:rsid w:val="00C64216"/>
    <w:rsid w:val="00C73738"/>
    <w:rsid w:val="00CE315A"/>
    <w:rsid w:val="00D06F59"/>
    <w:rsid w:val="00D10F63"/>
    <w:rsid w:val="00D2487A"/>
    <w:rsid w:val="00D6162D"/>
    <w:rsid w:val="00D8340F"/>
    <w:rsid w:val="00D8388C"/>
    <w:rsid w:val="00DB5C7F"/>
    <w:rsid w:val="00DE156F"/>
    <w:rsid w:val="00DE6E2D"/>
    <w:rsid w:val="00DF4D3C"/>
    <w:rsid w:val="00E05100"/>
    <w:rsid w:val="00E725E5"/>
    <w:rsid w:val="00E876C5"/>
    <w:rsid w:val="00E934E2"/>
    <w:rsid w:val="00EB0164"/>
    <w:rsid w:val="00EB6C9F"/>
    <w:rsid w:val="00ED0F62"/>
    <w:rsid w:val="00EE7CEA"/>
    <w:rsid w:val="00F402B8"/>
    <w:rsid w:val="00F52A4F"/>
    <w:rsid w:val="00F64A84"/>
    <w:rsid w:val="00FD19BA"/>
    <w:rsid w:val="00FE3AB1"/>
    <w:rsid w:val="00FF5CB2"/>
    <w:rsid w:val="01FC5F1A"/>
    <w:rsid w:val="0B52157F"/>
    <w:rsid w:val="0E7D7958"/>
    <w:rsid w:val="108219C2"/>
    <w:rsid w:val="330A6E3C"/>
    <w:rsid w:val="3CDE21F3"/>
    <w:rsid w:val="5DC03935"/>
    <w:rsid w:val="5EA12B9A"/>
    <w:rsid w:val="5F5F2106"/>
    <w:rsid w:val="6A290DB2"/>
    <w:rsid w:val="6CD46965"/>
    <w:rsid w:val="79FB51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FollowedHyperlink"/>
    <w:uiPriority w:val="0"/>
    <w:rPr>
      <w:color w:val="800080"/>
      <w:u w:val="single"/>
    </w:rPr>
  </w:style>
  <w:style w:type="character" w:customStyle="1" w:styleId="10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info-content-text"/>
    <w:basedOn w:val="7"/>
    <w:uiPriority w:val="0"/>
  </w:style>
  <w:style w:type="character" w:customStyle="1" w:styleId="15">
    <w:name w:val="info-expand-btn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183</Words>
  <Characters>1045</Characters>
  <Lines>8</Lines>
  <Paragraphs>2</Paragraphs>
  <TotalTime>0</TotalTime>
  <ScaleCrop>false</ScaleCrop>
  <LinksUpToDate>false</LinksUpToDate>
  <CharactersWithSpaces>1226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Joyce</cp:lastModifiedBy>
  <dcterms:modified xsi:type="dcterms:W3CDTF">2020-08-11T00:04:46Z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