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河北大宾美术用品有限公司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0028-2019-S-2020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2019-S1SC-1014142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2020.8.22</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5E3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2020-08-22T01:58:47Z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