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31"/>
        <w:gridCol w:w="910"/>
        <w:gridCol w:w="142"/>
        <w:gridCol w:w="1559"/>
        <w:gridCol w:w="567"/>
        <w:gridCol w:w="1134"/>
        <w:gridCol w:w="284"/>
        <w:gridCol w:w="425"/>
        <w:gridCol w:w="425"/>
        <w:gridCol w:w="28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重庆信锐达科技有限公司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方少林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023-68616003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计算机网络设备、通信设备（不含卫星地面发射和接收设备）的销售和技术服务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29.09.01;29.09.02;34.06.00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2020年08月05日 上午至2020年08月05日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29.09.01,29.09.02,34.06.00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18" w:type="dxa"/>
            <w:gridSpan w:val="4"/>
            <w:vAlign w:val="center"/>
          </w:tcPr>
          <w:p/>
        </w:tc>
        <w:tc>
          <w:tcPr>
            <w:tcW w:w="137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2020年08月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2020年08月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经营现场</w:t>
            </w:r>
            <w:r>
              <w:rPr>
                <w:rFonts w:hint="eastAsia"/>
                <w:sz w:val="21"/>
                <w:szCs w:val="21"/>
              </w:rPr>
              <w:t>巡视和观察，从总体上初步判断受审核方的实际情况（包括实际的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 xml:space="preserve">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服务过程的识与别制的合理性，及其与成文信息的一致性。</w:t>
            </w:r>
            <w:bookmarkStart w:id="14" w:name="_GoBack"/>
            <w:bookmarkEnd w:id="14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302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2020-08-02T02:24:49Z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