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受审核部门：综合部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国强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r>
              <w:rPr>
                <w:rFonts w:hint="eastAsia"/>
                <w:sz w:val="24"/>
                <w:szCs w:val="24"/>
              </w:rPr>
              <w:t>审核员： 岳树亮</w:t>
            </w:r>
            <w:r>
              <w:rPr>
                <w:rFonts w:hint="eastAsia"/>
                <w:szCs w:val="21"/>
              </w:rPr>
              <w:t>（远程）</w:t>
            </w:r>
            <w:r>
              <w:rPr>
                <w:sz w:val="24"/>
                <w:szCs w:val="24"/>
              </w:rPr>
              <w:t xml:space="preserve"> </w:t>
            </w:r>
            <w:r>
              <w:t>刘梦晗</w:t>
            </w:r>
            <w:r>
              <w:rPr>
                <w:rFonts w:hint="eastAsia"/>
                <w:szCs w:val="21"/>
              </w:rPr>
              <w:t>（远程）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审核日期：2020-0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-0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宋体"/>
                <w:szCs w:val="21"/>
              </w:rPr>
              <w:t>6.2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/>
                <w:szCs w:val="21"/>
              </w:rPr>
              <w:t>7.1.2/7.1.6/</w:t>
            </w:r>
            <w:r>
              <w:rPr>
                <w:rFonts w:ascii="宋体" w:hAnsi="宋体" w:cs="宋体"/>
                <w:szCs w:val="21"/>
              </w:rPr>
              <w:t>7.2</w:t>
            </w:r>
            <w:r>
              <w:rPr>
                <w:rFonts w:hint="eastAsia"/>
                <w:szCs w:val="21"/>
              </w:rPr>
              <w:t>/7.3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7.5</w:t>
            </w:r>
            <w:r>
              <w:rPr>
                <w:rFonts w:hint="eastAsia" w:ascii="宋体" w:hAnsi="宋体" w:cs="宋体"/>
                <w:szCs w:val="21"/>
              </w:rPr>
              <w:t>/8.2/8.4/8.5.3/8.5.5/</w:t>
            </w:r>
            <w:r>
              <w:rPr>
                <w:rFonts w:ascii="宋体" w:hAnsi="宋体" w:cs="宋体"/>
                <w:szCs w:val="21"/>
              </w:rPr>
              <w:t>9.1.</w:t>
            </w:r>
            <w:r>
              <w:rPr>
                <w:rFonts w:hint="eastAsia" w:ascii="宋体" w:hAnsi="宋体" w:cs="宋体"/>
                <w:szCs w:val="21"/>
              </w:rPr>
              <w:t>2/</w:t>
            </w:r>
            <w:r>
              <w:rPr>
                <w:rFonts w:ascii="宋体" w:hAnsi="宋体" w:cs="宋体"/>
                <w:szCs w:val="21"/>
              </w:rPr>
              <w:t>9.2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5"/>
              <w:tblW w:w="88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71"/>
              <w:gridCol w:w="3543"/>
              <w:gridCol w:w="1107"/>
              <w:gridCol w:w="14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277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质量分解目标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1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color w:val="000000" w:themeColor="text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顾客满意度≥90</w:t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szCs w:val="24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统计各项得分之和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1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 w:ascii="宋体" w:hAnsi="宋体"/>
                    </w:rPr>
                    <w:t>培训计划完成率</w:t>
                  </w:r>
                  <w:r>
                    <w:rPr>
                      <w:rFonts w:hint="eastAsia" w:ascii="宋体" w:hAnsi="宋体"/>
                      <w:szCs w:val="21"/>
                    </w:rPr>
                    <w:t>100％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培训数/计划数×100%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1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szCs w:val="21"/>
                    </w:rPr>
                    <w:t>合格供方评审率</w:t>
                  </w:r>
                  <w:r>
                    <w:rPr>
                      <w:szCs w:val="21"/>
                    </w:rPr>
                    <w:t>100</w:t>
                  </w:r>
                  <w:r>
                    <w:rPr>
                      <w:rFonts w:hint="eastAsia"/>
                      <w:szCs w:val="21"/>
                    </w:rPr>
                    <w:t>％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评审供方合格数/供方总数×100%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1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szCs w:val="21"/>
                    </w:rPr>
                    <w:t>文件受控率100%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>
                  <w:pPr>
                    <w:spacing w:line="360" w:lineRule="exact"/>
                    <w:rPr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受控文件/所有文件</w:t>
                  </w:r>
                  <w:r>
                    <w:rPr>
                      <w:rFonts w:hint="eastAsia" w:ascii="宋体" w:hAnsi="宋体"/>
                      <w:szCs w:val="21"/>
                    </w:rPr>
                    <w:t>×</w:t>
                  </w:r>
                  <w:r>
                    <w:rPr>
                      <w:rFonts w:hint="eastAsia"/>
                      <w:szCs w:val="21"/>
                    </w:rPr>
                    <w:t>100%。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1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产品一次交验合格率100%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>
                  <w:pPr>
                    <w:spacing w:line="36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交付数/合格数×100%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477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完成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Q7.1.2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如：手册第7.1条款、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《人力资源控制程序》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符合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>
            <w:pPr>
              <w:rPr>
                <w:color w:val="000000"/>
                <w:szCs w:val="21"/>
              </w:rPr>
            </w:pPr>
          </w:p>
          <w:tbl>
            <w:tblPr>
              <w:tblStyle w:val="6"/>
              <w:tblW w:w="77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1"/>
              <w:gridCol w:w="1291"/>
              <w:gridCol w:w="1291"/>
              <w:gridCol w:w="1291"/>
              <w:gridCol w:w="12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</w:rPr>
                    <w:t>管理人员数</w:t>
                  </w:r>
                </w:p>
              </w:tc>
              <w:tc>
                <w:tcPr>
                  <w:tcW w:w="1291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</w:rPr>
                    <w:t>技术人员数</w:t>
                  </w:r>
                </w:p>
              </w:tc>
              <w:tc>
                <w:tcPr>
                  <w:tcW w:w="1291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临时工数</w:t>
                  </w:r>
                </w:p>
              </w:tc>
              <w:tc>
                <w:tcPr>
                  <w:tcW w:w="1291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季节工数</w:t>
                  </w:r>
                </w:p>
              </w:tc>
              <w:tc>
                <w:tcPr>
                  <w:tcW w:w="1291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辅助人员数</w:t>
                  </w:r>
                </w:p>
              </w:tc>
              <w:tc>
                <w:tcPr>
                  <w:tcW w:w="1291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ind w:firstLine="420" w:firstLineChars="200"/>
                    <w:rPr>
                      <w:rFonts w:hint="eastAsia" w:eastAsia="宋体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291" w:type="dxa"/>
                </w:tcPr>
                <w:p>
                  <w:pPr>
                    <w:ind w:firstLine="420" w:firstLineChars="200"/>
                    <w:rPr>
                      <w:rFonts w:hint="eastAsia" w:eastAsia="宋体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291" w:type="dxa"/>
                </w:tcPr>
                <w:p>
                  <w:pPr>
                    <w:ind w:firstLine="420" w:firstLineChars="200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0</w:t>
                  </w:r>
                </w:p>
              </w:tc>
              <w:tc>
                <w:tcPr>
                  <w:tcW w:w="1291" w:type="dxa"/>
                </w:tcPr>
                <w:p>
                  <w:pPr>
                    <w:ind w:firstLine="420" w:firstLineChars="200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0</w:t>
                  </w:r>
                </w:p>
              </w:tc>
              <w:tc>
                <w:tcPr>
                  <w:tcW w:w="1291" w:type="dxa"/>
                </w:tcPr>
                <w:p>
                  <w:pPr>
                    <w:ind w:firstLine="420" w:firstLineChars="200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0</w:t>
                  </w:r>
                </w:p>
              </w:tc>
              <w:tc>
                <w:tcPr>
                  <w:tcW w:w="1291" w:type="dxa"/>
                </w:tcPr>
                <w:p>
                  <w:pPr>
                    <w:ind w:firstLine="420" w:firstLineChars="200"/>
                    <w:rPr>
                      <w:rFonts w:hint="eastAsia" w:eastAsia="宋体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9</w:t>
                  </w:r>
                </w:p>
              </w:tc>
            </w:tr>
          </w:tbl>
          <w:p>
            <w:pPr>
              <w:rPr>
                <w:szCs w:val="22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组织知识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Q7.1.6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如：手册第7.1条款、</w:t>
            </w:r>
          </w:p>
        </w:tc>
        <w:tc>
          <w:tcPr>
            <w:tcW w:w="1585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符合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spacing w:line="400" w:lineRule="exact"/>
              <w:ind w:left="210" w:leftChars="100"/>
              <w:rPr>
                <w:szCs w:val="22"/>
              </w:rPr>
            </w:pPr>
            <w:r>
              <w:rPr>
                <w:rFonts w:hint="eastAsia"/>
                <w:szCs w:val="22"/>
              </w:rPr>
              <w:t>《法律法规和其他要求一览表》</w:t>
            </w:r>
          </w:p>
          <w:p>
            <w:pPr>
              <w:pStyle w:val="8"/>
              <w:tabs>
                <w:tab w:val="left" w:pos="790"/>
              </w:tabs>
              <w:rPr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2"/>
              </w:rPr>
              <w:t>《风险和机遇评估分析表》</w:t>
            </w:r>
          </w:p>
          <w:p>
            <w:pPr>
              <w:pStyle w:val="8"/>
              <w:tabs>
                <w:tab w:val="left" w:pos="790"/>
              </w:tabs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  组织的文件等</w:t>
            </w:r>
          </w:p>
        </w:tc>
        <w:tc>
          <w:tcPr>
            <w:tcW w:w="1585" w:type="dxa"/>
            <w:vMerge w:val="continue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Q7.2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《人力资源控制程序》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符合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ascii="Calibri" w:hAnsi="Calibri"/>
                <w:szCs w:val="22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查看</w:t>
            </w:r>
            <w:r>
              <w:rPr>
                <w:rFonts w:hint="eastAsia"/>
                <w:szCs w:val="22"/>
              </w:rPr>
              <w:t>《岗位任职能力描述》</w:t>
            </w:r>
            <w:r>
              <w:rPr>
                <w:rFonts w:hint="eastAsia" w:ascii="Calibri" w:hAnsi="Calibri"/>
                <w:szCs w:val="22"/>
              </w:rPr>
              <w:t>☑充分</w:t>
            </w:r>
            <w:r>
              <w:rPr>
                <w:rFonts w:hint="eastAsia"/>
                <w:szCs w:val="22"/>
              </w:rPr>
              <w:t xml:space="preserve">有效    </w:t>
            </w:r>
            <w:r>
              <w:rPr>
                <w:rFonts w:hint="eastAsia" w:ascii="Calibri" w:hAnsi="Calibri"/>
                <w:szCs w:val="22"/>
              </w:rPr>
              <w:t xml:space="preserve">□不足，说明： </w:t>
            </w:r>
            <w:r>
              <w:rPr>
                <w:rFonts w:hint="eastAsia" w:ascii="Calibri" w:hAnsi="Calibri"/>
                <w:szCs w:val="22"/>
                <w:u w:val="single"/>
              </w:rPr>
              <w:t xml:space="preserve">                               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抽查任职能力情况：</w:t>
            </w:r>
          </w:p>
          <w:p>
            <w:pPr>
              <w:rPr>
                <w:rFonts w:ascii="Calibri" w:hAnsi="Calibri"/>
                <w:szCs w:val="22"/>
              </w:rPr>
            </w:pPr>
          </w:p>
          <w:tbl>
            <w:tblPr>
              <w:tblStyle w:val="6"/>
              <w:tblW w:w="904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6"/>
              <w:gridCol w:w="4536"/>
              <w:gridCol w:w="1276"/>
              <w:gridCol w:w="18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1386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关键岗位的人员</w:t>
                  </w:r>
                </w:p>
              </w:tc>
              <w:tc>
                <w:tcPr>
                  <w:tcW w:w="4536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任职要求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是否符合</w:t>
                  </w:r>
                </w:p>
              </w:tc>
              <w:tc>
                <w:tcPr>
                  <w:tcW w:w="1847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386" w:type="dxa"/>
                </w:tcPr>
                <w:p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综合部经理</w:t>
                  </w:r>
                </w:p>
                <w:p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周红英</w:t>
                  </w:r>
                </w:p>
              </w:tc>
              <w:tc>
                <w:tcPr>
                  <w:tcW w:w="4536" w:type="dxa"/>
                </w:tcPr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1、受过本行业相关培训</w:t>
                  </w:r>
                </w:p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2、具有一定的综合分析、组织领导和协调能力；</w:t>
                  </w:r>
                </w:p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3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、具备优秀的现场协调和处理事情的能力</w:t>
                  </w:r>
                </w:p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color w:val="000000" w:themeColor="text1"/>
                      <w:szCs w:val="22"/>
                    </w:rPr>
                    <w:t>4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、工作经历：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u w:val="single"/>
                    </w:rPr>
                    <w:t xml:space="preserve"> </w:t>
                  </w:r>
                  <w:r>
                    <w:rPr>
                      <w:color w:val="000000" w:themeColor="text1"/>
                      <w:szCs w:val="22"/>
                      <w:u w:val="single"/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年以上工作经验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是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□否</w:t>
                  </w:r>
                </w:p>
              </w:tc>
              <w:tc>
                <w:tcPr>
                  <w:tcW w:w="184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386" w:type="dxa"/>
                </w:tcPr>
                <w:p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生产部经理</w:t>
                  </w:r>
                </w:p>
                <w:p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周国强</w:t>
                  </w:r>
                </w:p>
              </w:tc>
              <w:tc>
                <w:tcPr>
                  <w:tcW w:w="4536" w:type="dxa"/>
                </w:tcPr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1、受过本行业相关培训</w:t>
                  </w:r>
                </w:p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2、具有一定的综合分析、组织领导和协调能力；</w:t>
                  </w:r>
                </w:p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3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、具备优秀的现场协调和处理事情的能力</w:t>
                  </w:r>
                </w:p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color w:val="000000" w:themeColor="text1"/>
                      <w:szCs w:val="22"/>
                    </w:rPr>
                    <w:t>4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、工作经历：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u w:val="single"/>
                    </w:rPr>
                    <w:t xml:space="preserve"> </w:t>
                  </w:r>
                  <w:r>
                    <w:rPr>
                      <w:color w:val="000000" w:themeColor="text1"/>
                      <w:szCs w:val="22"/>
                      <w:u w:val="single"/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年以上工作经验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是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□否</w:t>
                  </w:r>
                </w:p>
              </w:tc>
              <w:tc>
                <w:tcPr>
                  <w:tcW w:w="1847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color w:val="000000" w:themeColor="text1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3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总经理</w:t>
                  </w:r>
                  <w:r>
                    <w:rPr>
                      <w:rFonts w:hint="eastAsia"/>
                      <w:szCs w:val="22"/>
                    </w:rPr>
                    <w:t>芦健</w:t>
                  </w:r>
                </w:p>
              </w:tc>
              <w:tc>
                <w:tcPr>
                  <w:tcW w:w="4536" w:type="dxa"/>
                </w:tcPr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1、受过本行业相关培训</w:t>
                  </w:r>
                </w:p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2、具有一定的综合分析、组织领导和协调能力；</w:t>
                  </w:r>
                </w:p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3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、具备优秀的现场协调和处理事情的能力</w:t>
                  </w:r>
                </w:p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color w:val="000000" w:themeColor="text1"/>
                      <w:szCs w:val="22"/>
                    </w:rPr>
                    <w:t>4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、工作经历：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u w:val="single"/>
                    </w:rPr>
                    <w:t xml:space="preserve"> 3 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年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是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□否</w:t>
                  </w:r>
                </w:p>
              </w:tc>
              <w:tc>
                <w:tcPr>
                  <w:tcW w:w="1847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不胜任</w:t>
                  </w: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获得所需的能力所采取措施：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培训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调整岗位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岗位辅导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招聘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劳务外包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其他</w:t>
            </w:r>
          </w:p>
          <w:p>
            <w:pPr>
              <w:rPr>
                <w:szCs w:val="22"/>
              </w:rPr>
            </w:pP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管理人员 0 名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实招 0 名  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技术人员 0名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实招 0 名  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操作人员 0名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实招 0 名  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培训过程的控制：有《年度培训计划》、试卷、《培训记录表》</w:t>
            </w:r>
          </w:p>
          <w:tbl>
            <w:tblPr>
              <w:tblStyle w:val="6"/>
              <w:tblW w:w="88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8"/>
              <w:gridCol w:w="2230"/>
              <w:gridCol w:w="1647"/>
              <w:gridCol w:w="1651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8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计划培训日期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参加部门/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人数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8" w:type="dxa"/>
                  <w:vAlign w:val="center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2020-1-</w:t>
                  </w:r>
                  <w:r>
                    <w:rPr>
                      <w:color w:val="auto"/>
                      <w:szCs w:val="22"/>
                    </w:rPr>
                    <w:t>13</w:t>
                  </w:r>
                </w:p>
              </w:tc>
              <w:tc>
                <w:tcPr>
                  <w:tcW w:w="2230" w:type="dxa"/>
                  <w:vAlign w:val="center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GB/T19001-2016标准</w:t>
                  </w:r>
                </w:p>
              </w:tc>
              <w:tc>
                <w:tcPr>
                  <w:tcW w:w="164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全员</w:t>
                  </w: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rPr>
                      <w:rFonts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vAlign w:val="center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8" w:type="dxa"/>
                  <w:vAlign w:val="center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2020-</w:t>
                  </w:r>
                  <w:r>
                    <w:rPr>
                      <w:color w:val="auto"/>
                      <w:szCs w:val="22"/>
                    </w:rPr>
                    <w:t>1</w:t>
                  </w:r>
                  <w:r>
                    <w:rPr>
                      <w:rFonts w:hint="eastAsia"/>
                      <w:color w:val="auto"/>
                      <w:szCs w:val="22"/>
                    </w:rPr>
                    <w:t>-15</w:t>
                  </w:r>
                </w:p>
              </w:tc>
              <w:tc>
                <w:tcPr>
                  <w:tcW w:w="2230" w:type="dxa"/>
                  <w:vAlign w:val="center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质量方针、质量目标</w:t>
                  </w:r>
                </w:p>
              </w:tc>
              <w:tc>
                <w:tcPr>
                  <w:tcW w:w="1647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4人</w:t>
                  </w: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rPr>
                      <w:rFonts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vAlign w:val="center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8" w:type="dxa"/>
                  <w:vAlign w:val="center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2020-</w:t>
                  </w:r>
                  <w:r>
                    <w:rPr>
                      <w:color w:val="auto"/>
                      <w:szCs w:val="22"/>
                    </w:rPr>
                    <w:t>3</w:t>
                  </w:r>
                  <w:r>
                    <w:rPr>
                      <w:rFonts w:hint="eastAsia"/>
                      <w:color w:val="auto"/>
                      <w:szCs w:val="22"/>
                    </w:rPr>
                    <w:t>-10</w:t>
                  </w:r>
                </w:p>
              </w:tc>
              <w:tc>
                <w:tcPr>
                  <w:tcW w:w="2230" w:type="dxa"/>
                  <w:vAlign w:val="center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内审员培训</w:t>
                  </w:r>
                </w:p>
              </w:tc>
              <w:tc>
                <w:tcPr>
                  <w:tcW w:w="1647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4人</w:t>
                  </w: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rPr>
                      <w:rFonts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vAlign w:val="center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28" w:type="dxa"/>
                  <w:vAlign w:val="center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2020-</w:t>
                  </w:r>
                  <w:r>
                    <w:rPr>
                      <w:color w:val="auto"/>
                      <w:szCs w:val="22"/>
                    </w:rPr>
                    <w:t>3</w:t>
                  </w:r>
                  <w:r>
                    <w:rPr>
                      <w:rFonts w:hint="eastAsia"/>
                      <w:color w:val="auto"/>
                      <w:szCs w:val="22"/>
                    </w:rPr>
                    <w:t>-1</w:t>
                  </w:r>
                  <w:r>
                    <w:rPr>
                      <w:color w:val="auto"/>
                      <w:szCs w:val="22"/>
                    </w:rPr>
                    <w:t>3</w:t>
                  </w:r>
                </w:p>
              </w:tc>
              <w:tc>
                <w:tcPr>
                  <w:tcW w:w="2230" w:type="dxa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操作规程</w:t>
                  </w:r>
                </w:p>
              </w:tc>
              <w:tc>
                <w:tcPr>
                  <w:tcW w:w="164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全员</w:t>
                  </w: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vAlign w:val="center"/>
                </w:tcPr>
                <w:p>
                  <w:pPr>
                    <w:rPr>
                      <w:rFonts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8" w:type="dxa"/>
                  <w:vAlign w:val="center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2020-</w:t>
                  </w:r>
                  <w:r>
                    <w:rPr>
                      <w:color w:val="auto"/>
                      <w:szCs w:val="22"/>
                    </w:rPr>
                    <w:t>4</w:t>
                  </w:r>
                  <w:r>
                    <w:rPr>
                      <w:rFonts w:hint="eastAsia"/>
                      <w:color w:val="auto"/>
                      <w:szCs w:val="22"/>
                    </w:rPr>
                    <w:t>-</w:t>
                  </w:r>
                  <w:r>
                    <w:rPr>
                      <w:color w:val="auto"/>
                      <w:szCs w:val="22"/>
                    </w:rPr>
                    <w:t>2</w:t>
                  </w:r>
                </w:p>
              </w:tc>
              <w:tc>
                <w:tcPr>
                  <w:tcW w:w="2230" w:type="dxa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检验规程</w:t>
                  </w:r>
                </w:p>
              </w:tc>
              <w:tc>
                <w:tcPr>
                  <w:tcW w:w="1647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4人</w:t>
                  </w: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vAlign w:val="center"/>
                </w:tcPr>
                <w:p>
                  <w:pPr>
                    <w:rPr>
                      <w:rFonts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□不足</w:t>
                  </w: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持证上岗人员的控制：</w:t>
            </w: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1"/>
              <w:gridCol w:w="1217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特种设备作业人员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起重机械指挥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rPr>
                      <w:rFonts w:hint="default" w:eastAsia="宋体"/>
                      <w:color w:val="00000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lang w:val="en-US" w:eastAsia="zh-CN"/>
                    </w:rPr>
                    <w:t>吴国君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rPr>
                      <w:rFonts w:hint="default" w:eastAsia="宋体"/>
                      <w:color w:val="00000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lang w:val="en-US" w:eastAsia="zh-CN"/>
                    </w:rPr>
                    <w:t>320223196602110053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2023.4.7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6"/>
              <w:gridCol w:w="1042"/>
              <w:gridCol w:w="2436"/>
              <w:gridCol w:w="158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7" w:hRule="atLeast"/>
              </w:trPr>
              <w:tc>
                <w:tcPr>
                  <w:tcW w:w="2156" w:type="dxa"/>
                  <w:shd w:val="clear" w:color="auto" w:fill="auto"/>
                </w:tcPr>
                <w:p>
                  <w:pPr>
                    <w:rPr>
                      <w:b/>
                      <w:szCs w:val="22"/>
                    </w:rPr>
                  </w:pPr>
                  <w:r>
                    <w:rPr>
                      <w:rFonts w:hint="eastAsia"/>
                      <w:b/>
                      <w:szCs w:val="22"/>
                    </w:rPr>
                    <w:t>特种作业人员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36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电工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于政鑫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320282198503156477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rFonts w:hint="eastAsia" w:eastAsia="宋体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焊接与热切割作业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吴雪飞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T</w:t>
                  </w:r>
                  <w:r>
                    <w:rPr>
                      <w:szCs w:val="22"/>
                    </w:rPr>
                    <w:t>320282199401186178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2</w:t>
                  </w:r>
                  <w:r>
                    <w:rPr>
                      <w:color w:val="auto"/>
                      <w:szCs w:val="22"/>
                    </w:rPr>
                    <w:t>025</w:t>
                  </w:r>
                  <w:r>
                    <w:rPr>
                      <w:rFonts w:hint="eastAsia"/>
                      <w:color w:val="auto"/>
                      <w:szCs w:val="22"/>
                    </w:rPr>
                    <w:t>-</w:t>
                  </w:r>
                  <w:r>
                    <w:rPr>
                      <w:color w:val="auto"/>
                      <w:szCs w:val="22"/>
                    </w:rPr>
                    <w:t>05</w:t>
                  </w:r>
                  <w:r>
                    <w:rPr>
                      <w:rFonts w:hint="eastAsia"/>
                      <w:color w:val="auto"/>
                      <w:szCs w:val="22"/>
                    </w:rPr>
                    <w:t>-</w:t>
                  </w:r>
                  <w:r>
                    <w:rPr>
                      <w:color w:val="auto"/>
                      <w:szCs w:val="22"/>
                    </w:rPr>
                    <w:t>10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焊接与热切割作业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吴文杰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T</w:t>
                  </w:r>
                  <w:r>
                    <w:rPr>
                      <w:szCs w:val="22"/>
                    </w:rPr>
                    <w:t>320282198303270013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2</w:t>
                  </w:r>
                  <w:r>
                    <w:rPr>
                      <w:color w:val="auto"/>
                      <w:szCs w:val="22"/>
                    </w:rPr>
                    <w:t>024</w:t>
                  </w:r>
                  <w:r>
                    <w:rPr>
                      <w:rFonts w:hint="eastAsia"/>
                      <w:color w:val="auto"/>
                      <w:szCs w:val="22"/>
                    </w:rPr>
                    <w:t>-</w:t>
                  </w:r>
                  <w:r>
                    <w:rPr>
                      <w:color w:val="auto"/>
                      <w:szCs w:val="22"/>
                    </w:rPr>
                    <w:t>07</w:t>
                  </w:r>
                  <w:r>
                    <w:rPr>
                      <w:rFonts w:hint="eastAsia"/>
                      <w:color w:val="auto"/>
                      <w:szCs w:val="22"/>
                    </w:rPr>
                    <w:t>-</w:t>
                  </w:r>
                  <w:r>
                    <w:rPr>
                      <w:color w:val="auto"/>
                      <w:szCs w:val="22"/>
                    </w:rPr>
                    <w:t>04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焊接与热切割作业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石德超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T</w:t>
                  </w:r>
                  <w:r>
                    <w:rPr>
                      <w:szCs w:val="22"/>
                    </w:rPr>
                    <w:t>320922198307035418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2</w:t>
                  </w:r>
                  <w:r>
                    <w:rPr>
                      <w:color w:val="auto"/>
                      <w:szCs w:val="22"/>
                    </w:rPr>
                    <w:t>021</w:t>
                  </w:r>
                  <w:r>
                    <w:rPr>
                      <w:rFonts w:hint="eastAsia"/>
                      <w:color w:val="auto"/>
                      <w:szCs w:val="22"/>
                    </w:rPr>
                    <w:t>-</w:t>
                  </w:r>
                  <w:r>
                    <w:rPr>
                      <w:color w:val="auto"/>
                      <w:szCs w:val="22"/>
                    </w:rPr>
                    <w:t>05</w:t>
                  </w:r>
                  <w:r>
                    <w:rPr>
                      <w:rFonts w:hint="eastAsia"/>
                      <w:color w:val="auto"/>
                      <w:szCs w:val="22"/>
                    </w:rPr>
                    <w:t>-</w:t>
                  </w:r>
                  <w:r>
                    <w:rPr>
                      <w:color w:val="auto"/>
                      <w:szCs w:val="22"/>
                    </w:rPr>
                    <w:t>17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焊接与热切割作业</w:t>
                  </w:r>
                </w:p>
              </w:tc>
              <w:tc>
                <w:tcPr>
                  <w:tcW w:w="1042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刘晨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T</w:t>
                  </w:r>
                  <w:r>
                    <w:rPr>
                      <w:szCs w:val="22"/>
                    </w:rPr>
                    <w:t>320282199201196179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2</w:t>
                  </w:r>
                  <w:r>
                    <w:rPr>
                      <w:color w:val="auto"/>
                      <w:szCs w:val="22"/>
                    </w:rPr>
                    <w:t>021</w:t>
                  </w:r>
                  <w:r>
                    <w:rPr>
                      <w:rFonts w:hint="eastAsia"/>
                      <w:color w:val="auto"/>
                      <w:szCs w:val="22"/>
                    </w:rPr>
                    <w:t>-</w:t>
                  </w:r>
                  <w:r>
                    <w:rPr>
                      <w:color w:val="auto"/>
                      <w:szCs w:val="22"/>
                    </w:rPr>
                    <w:t>05</w:t>
                  </w:r>
                  <w:r>
                    <w:rPr>
                      <w:rFonts w:hint="eastAsia"/>
                      <w:color w:val="auto"/>
                      <w:szCs w:val="22"/>
                    </w:rPr>
                    <w:t>-</w:t>
                  </w:r>
                  <w:r>
                    <w:rPr>
                      <w:color w:val="auto"/>
                      <w:szCs w:val="22"/>
                    </w:rPr>
                    <w:t>17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rPr>
                <w:szCs w:val="22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Q7.</w:t>
            </w:r>
            <w:r>
              <w:t>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spacing w:line="560" w:lineRule="exact"/>
              <w:ind w:left="-27" w:leftChars="-13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《人力资源控制程序》、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《能力和意识控制程序》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组织工作人员提高质量意识的方式：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4061"/>
              <w:gridCol w:w="19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需要让员工知晓的内容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/>
                    </w:rPr>
                    <w:t>方式</w:t>
                  </w:r>
                </w:p>
              </w:tc>
              <w:tc>
                <w:tcPr>
                  <w:tcW w:w="1968" w:type="dxa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质量方针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□培训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相关的质量目标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☑培训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对质量管理体系有效性的贡献，包括改进绩效的益处；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☑培训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不符合质量管理体系要求的后果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☑培训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Q7.5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如：《文件控制程序》、《记录控制程序》、《信息沟通控制程序》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查看《受控文件清单》</w:t>
            </w:r>
          </w:p>
          <w:p>
            <w:r>
              <w:rPr>
                <w:rFonts w:hint="eastAsia"/>
              </w:rPr>
              <w:t>编审批管理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36"/>
              <w:gridCol w:w="1250"/>
              <w:gridCol w:w="903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36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250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03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36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903" w:type="dxa"/>
                  <w:vAlign w:val="center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  <w:vAlign w:val="center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程序文件</w:t>
                  </w:r>
                </w:p>
              </w:tc>
              <w:tc>
                <w:tcPr>
                  <w:tcW w:w="1636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903" w:type="dxa"/>
                  <w:vAlign w:val="center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  <w:vAlign w:val="center"/>
                </w:tcPr>
                <w:p>
                  <w:r>
                    <w:rPr>
                      <w:rFonts w:hint="eastAsia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安全操作规程</w:t>
                  </w:r>
                </w:p>
              </w:tc>
              <w:tc>
                <w:tcPr>
                  <w:tcW w:w="1636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903" w:type="dxa"/>
                  <w:vAlign w:val="center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  <w:vAlign w:val="center"/>
                </w:tcPr>
                <w:p>
                  <w:r>
                    <w:rPr>
                      <w:rFonts w:hint="eastAsia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检验规程</w:t>
                  </w:r>
                </w:p>
              </w:tc>
              <w:tc>
                <w:tcPr>
                  <w:tcW w:w="1636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903" w:type="dxa"/>
                  <w:vAlign w:val="center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  <w:vAlign w:val="center"/>
                </w:tcPr>
                <w:p>
                  <w:r>
                    <w:rPr>
                      <w:rFonts w:hint="eastAsia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文件修订的管理 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------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-</w:t>
                  </w:r>
                </w:p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------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限制上网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1"/>
              <w:gridCol w:w="1745"/>
              <w:gridCol w:w="1172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  <w:vAlign w:val="center"/>
                </w:tcPr>
                <w:p>
                  <w:r>
                    <w:rPr>
                      <w:rFonts w:hint="eastAsia"/>
                    </w:rPr>
                    <w:t>质量法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  <w:szCs w:val="24"/>
                    </w:rPr>
                    <w:t>周红英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  <w:vAlign w:val="center"/>
                </w:tcPr>
                <w:p>
                  <w:r>
                    <w:rPr>
                      <w:rFonts w:hint="eastAsia" w:ascii="宋体" w:hAnsi="宋体"/>
                      <w:sz w:val="18"/>
                      <w:szCs w:val="18"/>
                    </w:rPr>
                    <w:t>中华人民共和国  消防法（修订）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周红英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  <w:vAlign w:val="center"/>
                </w:tcPr>
                <w:p>
                  <w:r>
                    <w:rPr>
                      <w:rFonts w:hint="eastAsia" w:ascii="宋体" w:hAnsi="宋体"/>
                      <w:sz w:val="18"/>
                      <w:szCs w:val="18"/>
                    </w:rPr>
                    <w:t>中华人民共和国  安全生产法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周红英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8"/>
              <w:gridCol w:w="1159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处理日期（月）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szCs w:val="22"/>
                    </w:rPr>
                    <w:t>培训记录表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供方调查 评价表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szCs w:val="22"/>
                    </w:rPr>
                    <w:t>不合格品评审处置记录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/>
                <w:sz w:val="24"/>
                <w:szCs w:val="28"/>
              </w:rPr>
              <w:t>顾客满意度测量与分析程序</w:t>
            </w:r>
            <w:r>
              <w:rPr>
                <w:rFonts w:hint="eastAsia"/>
              </w:rPr>
              <w:t>》、《</w:t>
            </w:r>
            <w:r>
              <w:rPr>
                <w:rFonts w:hint="eastAsia"/>
                <w:sz w:val="24"/>
                <w:szCs w:val="28"/>
              </w:rPr>
              <w:t>信息沟通控制程序》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11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沟通内容</w:t>
                  </w:r>
                </w:p>
              </w:tc>
              <w:tc>
                <w:tcPr>
                  <w:tcW w:w="24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6" w:hRule="atLeast"/>
              </w:trPr>
              <w:tc>
                <w:tcPr>
                  <w:tcW w:w="11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2" w:hRule="atLeast"/>
              </w:trPr>
              <w:tc>
                <w:tcPr>
                  <w:tcW w:w="11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  <w:vAlign w:val="center"/>
                </w:tcPr>
                <w:p>
                  <w:r>
                    <w:rPr>
                      <w:rFonts w:hint="eastAsia"/>
                    </w:rPr>
                    <w:t>售后服务记录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2" w:hRule="atLeast"/>
              </w:trPr>
              <w:tc>
                <w:tcPr>
                  <w:tcW w:w="1118" w:type="dxa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                  </w:t>
                  </w:r>
                </w:p>
              </w:tc>
              <w:tc>
                <w:tcPr>
                  <w:tcW w:w="2455" w:type="dxa"/>
                  <w:vAlign w:val="center"/>
                </w:tcPr>
                <w:p/>
              </w:tc>
              <w:tc>
                <w:tcPr>
                  <w:tcW w:w="2110" w:type="dxa"/>
                  <w:vAlign w:val="center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Merge w:val="continue"/>
                </w:tcPr>
                <w:p/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包括：火灾、事故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如：手册8.2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保质保量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如：手册8.2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材料设备采购、安装、系统的调试、付款方式、包装形式、数量、交货期、执行标准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保质保量、按时完工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严格按照客户合同进行生产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  <w:r>
              <w:rPr>
                <w:rFonts w:hint="eastAsia"/>
              </w:rPr>
              <w:t>抽取产品和服务要求的评审相关记录名称：</w:t>
            </w:r>
            <w:r>
              <w:rPr>
                <w:rFonts w:hint="eastAsia"/>
                <w:u w:val="single"/>
              </w:rPr>
              <w:t>《  合同评审</w:t>
            </w:r>
            <w:r>
              <w:rPr>
                <w:rFonts w:hint="eastAsia"/>
                <w:u w:val="single"/>
                <w:lang w:val="en-US" w:eastAsia="zh-CN"/>
              </w:rPr>
              <w:t>记录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6"/>
              <w:tblW w:w="89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2"/>
              <w:gridCol w:w="3427"/>
              <w:gridCol w:w="2162"/>
              <w:gridCol w:w="688"/>
              <w:gridCol w:w="15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342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216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规格型号</w:t>
                  </w:r>
                </w:p>
              </w:tc>
              <w:tc>
                <w:tcPr>
                  <w:tcW w:w="68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57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2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2020.4.8</w:t>
                  </w:r>
                </w:p>
              </w:tc>
              <w:tc>
                <w:tcPr>
                  <w:tcW w:w="342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钢制高速过滤器GSL-4.9</w:t>
                  </w:r>
                </w:p>
              </w:tc>
              <w:tc>
                <w:tcPr>
                  <w:tcW w:w="2162" w:type="dxa"/>
                </w:tcPr>
                <w:p>
                  <w:pPr>
                    <w:jc w:val="center"/>
                  </w:pPr>
                </w:p>
              </w:tc>
              <w:tc>
                <w:tcPr>
                  <w:tcW w:w="688" w:type="dxa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75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2020.5.13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2" w:type="dxa"/>
                </w:tcPr>
                <w:p>
                  <w:pPr>
                    <w:rPr>
                      <w:rFonts w:hint="default" w:eastAsia="方正北魏楷书简体"/>
                      <w:lang w:val="en-US" w:eastAsia="zh-CN"/>
                    </w:rPr>
                  </w:pPr>
                  <w:r>
                    <w:rPr>
                      <w:rFonts w:hint="eastAsia" w:eastAsia="方正北魏楷书简体"/>
                      <w:lang w:val="en-US" w:eastAsia="zh-CN"/>
                    </w:rPr>
                    <w:t>2019.9.24</w:t>
                  </w:r>
                </w:p>
              </w:tc>
              <w:tc>
                <w:tcPr>
                  <w:tcW w:w="342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次氯酸钠自动加药系统</w:t>
                  </w:r>
                </w:p>
              </w:tc>
              <w:tc>
                <w:tcPr>
                  <w:tcW w:w="2162" w:type="dxa"/>
                </w:tcPr>
                <w:p/>
              </w:tc>
              <w:tc>
                <w:tcPr>
                  <w:tcW w:w="688" w:type="dxa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75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2019.10.24</w:t>
                  </w: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不存在  </w:t>
            </w:r>
          </w:p>
          <w:p/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如：手册8.2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>《         --      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--</w:t>
                  </w:r>
                </w:p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如：《采购控制程序》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szCs w:val="22"/>
              </w:rPr>
              <w:t>查外部供方的</w:t>
            </w:r>
            <w:r>
              <w:rPr>
                <w:rFonts w:hint="eastAsia"/>
              </w:rPr>
              <w:t>评价记录名称：</w:t>
            </w:r>
            <w:r>
              <w:rPr>
                <w:rFonts w:hint="eastAsia"/>
                <w:u w:val="single"/>
              </w:rPr>
              <w:t>《 供方评定表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vAlign w:val="center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r>
                    <w:rPr>
                      <w:rFonts w:hint="eastAsia" w:ascii="仿宋_GB2312" w:eastAsia="仿宋_GB2312"/>
                      <w:szCs w:val="28"/>
                    </w:rPr>
                    <w:t>宜兴市富鑫金属材料有限公司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center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r>
                    <w:rPr>
                      <w:rFonts w:hint="eastAsia" w:ascii="仿宋_GB2312" w:eastAsia="仿宋_GB2312"/>
                      <w:szCs w:val="28"/>
                    </w:rPr>
                    <w:t>开平板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320282000201602290338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《工业产品许可证》编号：</w:t>
                  </w:r>
                  <w:r>
                    <w:rPr>
                      <w:rFonts w:hint="eastAsia"/>
                      <w:u w:val="single"/>
                    </w:rPr>
                    <w:t xml:space="preserve"> （适用时） </w:t>
                  </w:r>
                  <w:r>
                    <w:t xml:space="preserve">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《中国国家强制性产品认证证书》编号：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《危化品经营许可证》编号：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sym w:font="Wingdings" w:char="00A8"/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 xml:space="preserve">有效  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sym w:font="Wingdings" w:char="00A8"/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评价效果良好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8"/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r>
                    <w:rPr>
                      <w:rFonts w:hint="eastAsia" w:ascii="仿宋_GB2312" w:eastAsia="仿宋_GB2312"/>
                      <w:szCs w:val="28"/>
                    </w:rPr>
                    <w:t>宜兴市兴利来金属有限公司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r>
                    <w:rPr>
                      <w:rFonts w:hint="eastAsia" w:ascii="仿宋_GB2312" w:eastAsia="仿宋_GB2312"/>
                      <w:szCs w:val="28"/>
                    </w:rPr>
                    <w:t>镀锌管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913202825866823869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《工业产品许可证》编号：</w:t>
                  </w:r>
                  <w:r>
                    <w:rPr>
                      <w:rFonts w:hint="eastAsia"/>
                      <w:u w:val="single"/>
                    </w:rPr>
                    <w:t xml:space="preserve"> （适用时） </w:t>
                  </w:r>
                  <w:r>
                    <w:t xml:space="preserve">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《中国国家强制性产品认证证书》编号：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《危化品经营许可证》编号：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评价效果良好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r>
                    <w:rPr>
                      <w:rFonts w:hint="eastAsia" w:ascii="仿宋_GB2312" w:eastAsia="仿宋_GB2312"/>
                      <w:szCs w:val="28"/>
                    </w:rPr>
                    <w:t>宜兴市晟源和环保设备有限公司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r>
                    <w:rPr>
                      <w:rFonts w:hint="eastAsia" w:ascii="仿宋_GB2312" w:eastAsia="仿宋_GB2312"/>
                      <w:szCs w:val="28"/>
                    </w:rPr>
                    <w:t>法兰 阀门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320282000202006020084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《工业产品许可证》编号：</w:t>
                  </w:r>
                  <w:r>
                    <w:rPr>
                      <w:rFonts w:hint="eastAsia"/>
                      <w:u w:val="single"/>
                    </w:rPr>
                    <w:t xml:space="preserve"> （适用时） </w:t>
                  </w:r>
                  <w:r>
                    <w:t xml:space="preserve">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《中国国家强制性产品认证证书》编号：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《危化品经营许可证》编号：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sym w:font="Wingdings" w:char="00A8"/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 xml:space="preserve">有效  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sym w:font="Wingdings" w:char="00A8"/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失效</w:t>
                  </w:r>
                </w:p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如：《外部提供的过程的产品和服务控制程序》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  供方评定表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无锡德禄鑫物资有限公司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 w:ascii="仿宋_GB2312" w:eastAsia="仿宋_GB2312"/>
                      <w:spacing w:val="-20"/>
                      <w:szCs w:val="28"/>
                    </w:rPr>
                    <w:t>不锈钢板 角钢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8"/>
              <w:rPr>
                <w:u w:val="single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宜兴市兴川华不锈钢有限公司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不锈钢管材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bookmarkStart w:id="0" w:name="_GoBack"/>
                  <w:bookmarkEnd w:id="0"/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《外部提供的过程的产品和服务控制程序》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充分和的。 </w:t>
            </w:r>
          </w:p>
          <w:p/>
          <w:p>
            <w:r>
              <w:rPr>
                <w:rFonts w:hint="eastAsia"/>
              </w:rPr>
              <w:t>抽查《</w:t>
            </w:r>
            <w:r>
              <w:rPr>
                <w:rFonts w:hint="eastAsia"/>
                <w:lang w:val="en-US" w:eastAsia="zh-CN"/>
              </w:rPr>
              <w:t>物品/服务买卖</w:t>
            </w:r>
            <w:r>
              <w:rPr>
                <w:rFonts w:hint="eastAsia"/>
              </w:rPr>
              <w:t>合同》。组织与外部供方沟通以下要求：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1994"/>
              <w:gridCol w:w="1976"/>
              <w:gridCol w:w="20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2020.4.20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2020.3.16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2019.9.20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泵、阀门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Q27513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钢板、螺旋管、焊管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客户协议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客户协议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客户协议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无特殊要求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无特殊要求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</w:rPr>
                    <w:t>有危险货物资质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订货、送货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订货、送货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</w:rPr>
                    <w:t>装卸货，运输中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如：手册8.5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6"/>
              <w:tblW w:w="909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2025"/>
              <w:gridCol w:w="1606"/>
              <w:gridCol w:w="1293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202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606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293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202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宝钢德盛不锈钢有限公司</w:t>
                  </w:r>
                </w:p>
              </w:tc>
              <w:tc>
                <w:tcPr>
                  <w:tcW w:w="129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2020.3.6</w:t>
                  </w:r>
                </w:p>
              </w:tc>
              <w:tc>
                <w:tcPr>
                  <w:tcW w:w="155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202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宜兴市兴利来金属有限公司</w:t>
                  </w:r>
                </w:p>
              </w:tc>
              <w:tc>
                <w:tcPr>
                  <w:tcW w:w="129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2019.9.20</w:t>
                  </w:r>
                </w:p>
              </w:tc>
              <w:tc>
                <w:tcPr>
                  <w:tcW w:w="155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202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  <w:vAlign w:val="center"/>
                </w:tcPr>
                <w:p/>
              </w:tc>
              <w:tc>
                <w:tcPr>
                  <w:tcW w:w="1293" w:type="dxa"/>
                </w:tcPr>
                <w:p/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</w:p>
          <w:p>
            <w:r>
              <w:rPr>
                <w:rFonts w:hint="eastAsia"/>
              </w:rPr>
              <w:t xml:space="preserve">对企业或个人信息是否有保密措施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有保密措施（如承诺）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措施不足</w:t>
            </w:r>
          </w:p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《顾客满意度测量与分析程序》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维修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无售后服务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>《 设备检修试验记录 》</w:t>
            </w:r>
          </w:p>
          <w:tbl>
            <w:tblPr>
              <w:tblStyle w:val="6"/>
              <w:tblW w:w="904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6"/>
              <w:gridCol w:w="1748"/>
              <w:gridCol w:w="1417"/>
              <w:gridCol w:w="1702"/>
              <w:gridCol w:w="1597"/>
              <w:gridCol w:w="15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4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41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170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52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2020.5.20</w:t>
                  </w:r>
                </w:p>
              </w:tc>
              <w:tc>
                <w:tcPr>
                  <w:tcW w:w="1748" w:type="dxa"/>
                  <w:vAlign w:val="bottom"/>
                </w:tcPr>
                <w:p>
                  <w:r>
                    <w:rPr>
                      <w:rFonts w:hint="eastAsia"/>
                    </w:rPr>
                    <w:t>江苏新雨水处理设备有限公司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江苏金南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高速过滤器的正常运行</w:t>
                  </w:r>
                </w:p>
              </w:tc>
              <w:tc>
                <w:tcPr>
                  <w:tcW w:w="159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8：00-14：50</w:t>
                  </w:r>
                </w:p>
              </w:tc>
              <w:tc>
                <w:tcPr>
                  <w:tcW w:w="152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满意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2020.6.22</w:t>
                  </w:r>
                </w:p>
              </w:tc>
              <w:tc>
                <w:tcPr>
                  <w:tcW w:w="1748" w:type="dxa"/>
                  <w:vAlign w:val="bottom"/>
                </w:tcPr>
                <w:p>
                  <w:r>
                    <w:rPr>
                      <w:rFonts w:hint="eastAsia"/>
                    </w:rPr>
                    <w:t>江苏理文造纸有限公司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江苏常熟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石灰溶解系统的正常运行</w:t>
                  </w:r>
                </w:p>
              </w:tc>
              <w:tc>
                <w:tcPr>
                  <w:tcW w:w="159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8：00-11：30</w:t>
                  </w:r>
                </w:p>
              </w:tc>
              <w:tc>
                <w:tcPr>
                  <w:tcW w:w="152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满意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《顾客满意度测量控制程序》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6"/>
              <w:tblW w:w="88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37"/>
              <w:gridCol w:w="1120"/>
              <w:gridCol w:w="3745"/>
              <w:gridCol w:w="17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1797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t>3</w:t>
                  </w:r>
                  <w:r>
                    <w:rPr>
                      <w:rFonts w:hint="eastAsia"/>
                    </w:rPr>
                    <w:t>份问卷；结果：收回</w:t>
                  </w:r>
                  <w:r>
                    <w:t>3</w:t>
                  </w:r>
                  <w:r>
                    <w:rPr>
                      <w:rFonts w:hint="eastAsia"/>
                    </w:rPr>
                    <w:t xml:space="preserve">份   </w:t>
                  </w:r>
                </w:p>
              </w:tc>
              <w:tc>
                <w:tcPr>
                  <w:tcW w:w="1797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没有投诉、未主动询问；没有留下证据</w:t>
                  </w:r>
                </w:p>
              </w:tc>
              <w:tc>
                <w:tcPr>
                  <w:tcW w:w="17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17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没有统计</w:t>
                  </w:r>
                </w:p>
              </w:tc>
              <w:tc>
                <w:tcPr>
                  <w:tcW w:w="17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17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17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/>
              </w:tc>
              <w:tc>
                <w:tcPr>
                  <w:tcW w:w="1797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手册第9.2条款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6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>-</w:t>
            </w:r>
            <w:r>
              <w:rPr>
                <w:color w:val="000000"/>
                <w:szCs w:val="18"/>
                <w:u w:val="single"/>
              </w:rPr>
              <w:t>13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</w:rPr>
              <w:t>☑内审员培训记录 □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Segoe UI Emoji" w:hAnsi="Segoe UI Emoji" w:cs="Segoe UI Emoji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管理层、综合部、生产部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7.5  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不符合项未发生 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北魏楷书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3601B"/>
    <w:rsid w:val="000400E2"/>
    <w:rsid w:val="00062E46"/>
    <w:rsid w:val="000E20D0"/>
    <w:rsid w:val="000E6B21"/>
    <w:rsid w:val="000F603D"/>
    <w:rsid w:val="001A2D7F"/>
    <w:rsid w:val="0020089B"/>
    <w:rsid w:val="002751A5"/>
    <w:rsid w:val="00292470"/>
    <w:rsid w:val="002939AD"/>
    <w:rsid w:val="003035CA"/>
    <w:rsid w:val="00313EB0"/>
    <w:rsid w:val="00314AF6"/>
    <w:rsid w:val="00331BF4"/>
    <w:rsid w:val="00337922"/>
    <w:rsid w:val="00340867"/>
    <w:rsid w:val="00380837"/>
    <w:rsid w:val="003A198A"/>
    <w:rsid w:val="003F7D04"/>
    <w:rsid w:val="00410914"/>
    <w:rsid w:val="0048201E"/>
    <w:rsid w:val="004D6024"/>
    <w:rsid w:val="00530733"/>
    <w:rsid w:val="00536930"/>
    <w:rsid w:val="00564E53"/>
    <w:rsid w:val="005A34B8"/>
    <w:rsid w:val="005D4BA5"/>
    <w:rsid w:val="005D5659"/>
    <w:rsid w:val="00600C20"/>
    <w:rsid w:val="0062230B"/>
    <w:rsid w:val="0064030C"/>
    <w:rsid w:val="00644FE2"/>
    <w:rsid w:val="0067640C"/>
    <w:rsid w:val="006E678B"/>
    <w:rsid w:val="006E7B1D"/>
    <w:rsid w:val="007757F3"/>
    <w:rsid w:val="007C1B48"/>
    <w:rsid w:val="007E3B15"/>
    <w:rsid w:val="007E6AEB"/>
    <w:rsid w:val="00801528"/>
    <w:rsid w:val="00835D09"/>
    <w:rsid w:val="008973EE"/>
    <w:rsid w:val="008E35C7"/>
    <w:rsid w:val="008E3DF0"/>
    <w:rsid w:val="00971600"/>
    <w:rsid w:val="009973B4"/>
    <w:rsid w:val="009C28C1"/>
    <w:rsid w:val="009C7D75"/>
    <w:rsid w:val="009F7EED"/>
    <w:rsid w:val="00A062B2"/>
    <w:rsid w:val="00A55FA5"/>
    <w:rsid w:val="00A80636"/>
    <w:rsid w:val="00A90BAE"/>
    <w:rsid w:val="00AD1240"/>
    <w:rsid w:val="00AF0AAB"/>
    <w:rsid w:val="00B162C1"/>
    <w:rsid w:val="00B82A05"/>
    <w:rsid w:val="00BC3063"/>
    <w:rsid w:val="00BF597E"/>
    <w:rsid w:val="00C51A36"/>
    <w:rsid w:val="00C55228"/>
    <w:rsid w:val="00C63768"/>
    <w:rsid w:val="00C7381E"/>
    <w:rsid w:val="00C95043"/>
    <w:rsid w:val="00CE315A"/>
    <w:rsid w:val="00CF1B15"/>
    <w:rsid w:val="00D06F59"/>
    <w:rsid w:val="00D8388C"/>
    <w:rsid w:val="00E6224C"/>
    <w:rsid w:val="00EA5534"/>
    <w:rsid w:val="00EB0164"/>
    <w:rsid w:val="00ED0F62"/>
    <w:rsid w:val="00F7273D"/>
    <w:rsid w:val="00FE19E8"/>
    <w:rsid w:val="01260C71"/>
    <w:rsid w:val="01E27364"/>
    <w:rsid w:val="020631CC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645616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616333"/>
    <w:rsid w:val="1C392A3A"/>
    <w:rsid w:val="1C6920D6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0B4E03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D76130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CF3716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1C0F2C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2D32CD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8226A"/>
    <w:rsid w:val="408B7234"/>
    <w:rsid w:val="40D6400A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8764E2"/>
    <w:rsid w:val="43C730CD"/>
    <w:rsid w:val="44A567F5"/>
    <w:rsid w:val="45283974"/>
    <w:rsid w:val="453B1EBC"/>
    <w:rsid w:val="45635AEC"/>
    <w:rsid w:val="45BA54FA"/>
    <w:rsid w:val="45C40042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032B6F"/>
    <w:rsid w:val="51217DA6"/>
    <w:rsid w:val="51294703"/>
    <w:rsid w:val="51425A27"/>
    <w:rsid w:val="5158757E"/>
    <w:rsid w:val="51D3241E"/>
    <w:rsid w:val="521A5D1E"/>
    <w:rsid w:val="523624DE"/>
    <w:rsid w:val="52A23F56"/>
    <w:rsid w:val="52BA5471"/>
    <w:rsid w:val="52D871F4"/>
    <w:rsid w:val="52F263D6"/>
    <w:rsid w:val="53024EB7"/>
    <w:rsid w:val="53261795"/>
    <w:rsid w:val="538830FD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194460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0A21EA3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6107B7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1F20EF"/>
    <w:rsid w:val="70795456"/>
    <w:rsid w:val="709946EC"/>
    <w:rsid w:val="709950B3"/>
    <w:rsid w:val="70DB0F8A"/>
    <w:rsid w:val="70F55580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B3C35D8"/>
    <w:rsid w:val="7BFC3502"/>
    <w:rsid w:val="7C090682"/>
    <w:rsid w:val="7C1B14E3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1376</Words>
  <Characters>7847</Characters>
  <Lines>65</Lines>
  <Paragraphs>18</Paragraphs>
  <TotalTime>1</TotalTime>
  <ScaleCrop>false</ScaleCrop>
  <LinksUpToDate>false</LinksUpToDate>
  <CharactersWithSpaces>9205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2020-08-01T08:28:57Z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