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江苏诚丰环保设备有限公司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b/>
                <w:color w:val="000000" w:themeColor="text1"/>
                <w:sz w:val="22"/>
                <w:szCs w:val="22"/>
                <w:lang w:val="en-US" w:eastAsia="zh-CN"/>
              </w:rPr>
              <w:t>320282000201605200002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665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2020-07-29T10:00:43Z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