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sz w:val="36"/>
          <w:szCs w:val="36"/>
        </w:rPr>
      </w:pPr>
      <w:r>
        <w:rPr>
          <w:rFonts w:hint="eastAsia" w:ascii="隶书" w:hAnsi="宋体" w:eastAsia="隶书"/>
          <w:bCs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1002"/>
        <w:gridCol w:w="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00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受审核部门：综合部    负责人：马云龙   </w:t>
            </w:r>
            <w:r>
              <w:rPr>
                <w:rFonts w:hint="eastAsia"/>
              </w:rPr>
              <w:t>陪同：马云龙</w:t>
            </w:r>
          </w:p>
        </w:tc>
        <w:tc>
          <w:tcPr>
            <w:tcW w:w="58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1002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审核员：张鹏                   审核时间： 20</w:t>
            </w:r>
            <w:r>
              <w:rPr>
                <w:sz w:val="24"/>
                <w:szCs w:val="24"/>
              </w:rPr>
              <w:t>20.</w:t>
            </w:r>
            <w:r>
              <w:rPr>
                <w:rFonts w:hint="eastAsia"/>
                <w:sz w:val="24"/>
                <w:szCs w:val="24"/>
              </w:rPr>
              <w:t>8.4</w:t>
            </w:r>
          </w:p>
        </w:tc>
        <w:tc>
          <w:tcPr>
            <w:tcW w:w="58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100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宋体"/>
                <w:sz w:val="20"/>
              </w:rPr>
              <w:t>Q7.1.6/7.5；EO 6.1.2/6.1.3/6.2.2/7.5/8.2</w:t>
            </w:r>
          </w:p>
        </w:tc>
        <w:tc>
          <w:tcPr>
            <w:tcW w:w="58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组织的知识，文件化信息，</w:t>
            </w: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0"/>
              </w:rPr>
            </w:pPr>
          </w:p>
          <w:p>
            <w:pPr>
              <w:pStyle w:val="2"/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环境因素、危险源的识别评价情况，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0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合规义务、适用法律法规识别的充分性及合规性评价情况，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0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目标、指标及管理方案的可行性；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0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0"/>
              </w:rPr>
            </w:pPr>
            <w:bookmarkStart w:id="0" w:name="_GoBack"/>
            <w:bookmarkEnd w:id="0"/>
            <w:r>
              <w:rPr>
                <w:rFonts w:ascii="宋体" w:hAnsi="宋体" w:cs="宋体"/>
                <w:sz w:val="20"/>
              </w:rPr>
              <w:br w:type="textWrapping"/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应急准备及响应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/>
        </w:tc>
        <w:tc>
          <w:tcPr>
            <w:tcW w:w="960" w:type="dxa"/>
          </w:tcPr>
          <w:p>
            <w:pPr>
              <w:pStyle w:val="2"/>
            </w:pPr>
            <w:r>
              <w:rPr>
                <w:rFonts w:hint="eastAsia" w:ascii="宋体" w:hAnsi="宋体" w:cs="宋体"/>
                <w:sz w:val="20"/>
              </w:rPr>
              <w:t>Q7.1.6/7.5；EO 6.1.2/6.1.3/6.2.2/7.5/8.2</w:t>
            </w:r>
          </w:p>
        </w:tc>
        <w:tc>
          <w:tcPr>
            <w:tcW w:w="11002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312"/>
              </w:tabs>
            </w:pPr>
            <w:r>
              <w:rPr>
                <w:rFonts w:hint="eastAsia"/>
              </w:rPr>
              <w:t>管理手册TTZC-SC-2019 A/2版，发布时间：20</w:t>
            </w:r>
            <w:r>
              <w:t>19</w:t>
            </w:r>
            <w:r>
              <w:rPr>
                <w:rFonts w:hint="eastAsia"/>
              </w:rPr>
              <w:t>年11月10日实施时间：20</w:t>
            </w:r>
            <w:r>
              <w:t>19</w:t>
            </w:r>
            <w:r>
              <w:rPr>
                <w:rFonts w:hint="eastAsia"/>
              </w:rPr>
              <w:t>年11月10日</w:t>
            </w:r>
          </w:p>
          <w:p>
            <w:pPr>
              <w:pStyle w:val="2"/>
              <w:rPr>
                <w:b/>
              </w:rPr>
            </w:pPr>
            <w:r>
              <w:rPr>
                <w:rFonts w:hint="eastAsia"/>
              </w:rPr>
              <w:t>2.程序文件TTZC-CX-2019 A</w:t>
            </w:r>
            <w:r>
              <w:t>/</w:t>
            </w:r>
            <w:r>
              <w:rPr>
                <w:rFonts w:hint="eastAsia"/>
              </w:rPr>
              <w:t>1版含21个文件，包括标准要求的形成文件的信息。</w:t>
            </w:r>
          </w:p>
          <w:p>
            <w:pPr>
              <w:pStyle w:val="2"/>
            </w:pPr>
            <w:r>
              <w:rPr>
                <w:rFonts w:hint="eastAsia"/>
              </w:rPr>
              <w:t>3.管理制度汇编：质量管理制度、销售管理制度等10个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综合部提供了外来文件清单，包括法律法规、国家标准等18个，其中包括销售产品的国家标准。</w:t>
            </w:r>
          </w:p>
          <w:p>
            <w:pPr>
              <w:pStyle w:val="2"/>
            </w:pPr>
            <w:r>
              <w:rPr>
                <w:rFonts w:hint="eastAsia"/>
              </w:rPr>
              <w:t>综合部提供了受控文件清单，包括体系文件、管理制度等。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综合部提供了公司的环境因素识别与评价清单，共识别出环境因素22条，包括电消耗、电磁辐射等，其中两条环境因素被评为重要环境因素。其余评价结果均为一般环境因素。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  <w:sz w:val="21"/>
                <w:szCs w:val="20"/>
              </w:rPr>
              <w:t>综合部提供了“重要环境因素清单”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1. 潜在火灾事故发生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2. 固体废弃物处理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综合部提供了公司的危险源辨识与评价表，共识别出危险源23条，包括照明电气线路老化、接地、漏电失灵、超时劳动等。评价出2条为不可接受风险。其余为一般危险源。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综合部提供了“不可接受风险清单”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1.潜在火灾、爆炸</w:t>
            </w:r>
          </w:p>
          <w:p>
            <w:pPr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2.触电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综合部提供了环境适用法律、法规及其它要求清单，清单中包括30条法律法规，提供了职业健康安全适用法律、法规及其它要求清单，清单中包括30条法律法规。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综合部于2019年12月10日和2019年12月15日分别针对OHS和EMS对适用的法律法规符合性进行了评价，提供了2019年合规性评价记录。</w:t>
            </w: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综合部提供了质量目标分解与实施表，涉及到质量环境安全目标8个，规定了分解部门，分解值与采取的措施，考核频次为每季度。</w:t>
            </w:r>
          </w:p>
          <w:p>
            <w:pPr>
              <w:pStyle w:val="2"/>
            </w:pPr>
            <w:r>
              <w:rPr>
                <w:rFonts w:hint="eastAsia"/>
              </w:rPr>
              <w:t>目标均完成。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综合部提供了环境管理方案，方案为各部门区域防火和固体废弃物，包括指标分解、负责人、实施时间和实施措施。</w:t>
            </w:r>
          </w:p>
          <w:p>
            <w:pPr>
              <w:rPr>
                <w:rFonts w:hint="eastAsia"/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综合部提供了职业健康安全目标和管理方案一览表，包括目标、预计完成时间、具体措施、负责人等。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综合部提供了企业的应急准备和响应计划，详细规定了事故处理的流程等内容。</w:t>
            </w:r>
          </w:p>
          <w:p>
            <w:r>
              <w:rPr>
                <w:rFonts w:hint="eastAsia" w:ascii="Arial" w:hAnsi="Arial" w:cs="Arial"/>
              </w:rPr>
              <w:t>综合部提供了触电事故应急预案，编制部门为综合部，编制日期为2019年11月10日。提供了触电演练记录，演练时间为2020.3.20，演练人员为公司全体人员。提供了火灾演练记录，演练时间为2019.12.23，演练人员为公司所有人员。</w:t>
            </w:r>
          </w:p>
          <w:p>
            <w:pPr>
              <w:rPr>
                <w:rStyle w:val="14"/>
                <w:rFonts w:ascii="Arial" w:hAnsi="Arial" w:cs="Arial"/>
              </w:rPr>
            </w:pPr>
          </w:p>
          <w:p>
            <w:pPr>
              <w:widowControl/>
              <w:spacing w:line="400" w:lineRule="exact"/>
              <w:jc w:val="left"/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具备二阶段审核的条件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87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ISC-B-I-08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2BD6A"/>
    <w:multiLevelType w:val="singleLevel"/>
    <w:tmpl w:val="7D62BD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3373A"/>
    <w:rsid w:val="000701FD"/>
    <w:rsid w:val="000A0AE0"/>
    <w:rsid w:val="00160CB8"/>
    <w:rsid w:val="001746DD"/>
    <w:rsid w:val="00195F4E"/>
    <w:rsid w:val="001A2D7F"/>
    <w:rsid w:val="001F6E09"/>
    <w:rsid w:val="00231EEC"/>
    <w:rsid w:val="00276220"/>
    <w:rsid w:val="002B1259"/>
    <w:rsid w:val="002C6853"/>
    <w:rsid w:val="002F7F21"/>
    <w:rsid w:val="003009D2"/>
    <w:rsid w:val="00323086"/>
    <w:rsid w:val="00337922"/>
    <w:rsid w:val="00340867"/>
    <w:rsid w:val="00380837"/>
    <w:rsid w:val="00410914"/>
    <w:rsid w:val="00447A1D"/>
    <w:rsid w:val="004D01D7"/>
    <w:rsid w:val="005053BA"/>
    <w:rsid w:val="00536930"/>
    <w:rsid w:val="0054499A"/>
    <w:rsid w:val="00550B37"/>
    <w:rsid w:val="00564E53"/>
    <w:rsid w:val="00565F5C"/>
    <w:rsid w:val="00576F3D"/>
    <w:rsid w:val="00644FE2"/>
    <w:rsid w:val="00647705"/>
    <w:rsid w:val="00652D02"/>
    <w:rsid w:val="0066389F"/>
    <w:rsid w:val="0067002F"/>
    <w:rsid w:val="0067640C"/>
    <w:rsid w:val="00684747"/>
    <w:rsid w:val="00697921"/>
    <w:rsid w:val="006A24C0"/>
    <w:rsid w:val="006E678B"/>
    <w:rsid w:val="00703DF7"/>
    <w:rsid w:val="007161FC"/>
    <w:rsid w:val="00771141"/>
    <w:rsid w:val="007757F3"/>
    <w:rsid w:val="007B4185"/>
    <w:rsid w:val="007E1F32"/>
    <w:rsid w:val="007E63CD"/>
    <w:rsid w:val="007E6AEB"/>
    <w:rsid w:val="007F2191"/>
    <w:rsid w:val="008038DD"/>
    <w:rsid w:val="00857C0F"/>
    <w:rsid w:val="008973EE"/>
    <w:rsid w:val="008A1880"/>
    <w:rsid w:val="008C2232"/>
    <w:rsid w:val="008C5B7C"/>
    <w:rsid w:val="008F6209"/>
    <w:rsid w:val="009032FA"/>
    <w:rsid w:val="00906526"/>
    <w:rsid w:val="00960D4A"/>
    <w:rsid w:val="00964913"/>
    <w:rsid w:val="00971600"/>
    <w:rsid w:val="009973B4"/>
    <w:rsid w:val="009A6F40"/>
    <w:rsid w:val="009F7EED"/>
    <w:rsid w:val="00A059FF"/>
    <w:rsid w:val="00A160D6"/>
    <w:rsid w:val="00A2434D"/>
    <w:rsid w:val="00A551B2"/>
    <w:rsid w:val="00A878FB"/>
    <w:rsid w:val="00AF0AAB"/>
    <w:rsid w:val="00B4675E"/>
    <w:rsid w:val="00BA2CFB"/>
    <w:rsid w:val="00BC1010"/>
    <w:rsid w:val="00BF04F3"/>
    <w:rsid w:val="00BF597E"/>
    <w:rsid w:val="00C156D1"/>
    <w:rsid w:val="00C22D27"/>
    <w:rsid w:val="00C37C07"/>
    <w:rsid w:val="00C51A36"/>
    <w:rsid w:val="00C55228"/>
    <w:rsid w:val="00C64216"/>
    <w:rsid w:val="00C73738"/>
    <w:rsid w:val="00CE315A"/>
    <w:rsid w:val="00D06F59"/>
    <w:rsid w:val="00D10F63"/>
    <w:rsid w:val="00D2487A"/>
    <w:rsid w:val="00D8340F"/>
    <w:rsid w:val="00D8388C"/>
    <w:rsid w:val="00DB5C7F"/>
    <w:rsid w:val="00DE156F"/>
    <w:rsid w:val="00DE6E2D"/>
    <w:rsid w:val="00DF4D3C"/>
    <w:rsid w:val="00E05100"/>
    <w:rsid w:val="00E725E5"/>
    <w:rsid w:val="00E876C5"/>
    <w:rsid w:val="00E934E2"/>
    <w:rsid w:val="00EB0164"/>
    <w:rsid w:val="00EB6C9F"/>
    <w:rsid w:val="00ED0F62"/>
    <w:rsid w:val="00EE7CEA"/>
    <w:rsid w:val="00F402B8"/>
    <w:rsid w:val="00F52A4F"/>
    <w:rsid w:val="00F64A84"/>
    <w:rsid w:val="00FD19BA"/>
    <w:rsid w:val="00FE3AB1"/>
    <w:rsid w:val="00FF5CB2"/>
    <w:rsid w:val="01FC5F1A"/>
    <w:rsid w:val="030C12A6"/>
    <w:rsid w:val="0B52157F"/>
    <w:rsid w:val="0E7D7958"/>
    <w:rsid w:val="108219C2"/>
    <w:rsid w:val="330A6E3C"/>
    <w:rsid w:val="3CDE21F3"/>
    <w:rsid w:val="5DC03935"/>
    <w:rsid w:val="5EA12B9A"/>
    <w:rsid w:val="5F5F2106"/>
    <w:rsid w:val="6CD46965"/>
    <w:rsid w:val="79FB51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FollowedHyperlink"/>
    <w:uiPriority w:val="0"/>
    <w:rPr>
      <w:color w:val="800080"/>
      <w:u w:val="single"/>
    </w:r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info-content-text"/>
    <w:basedOn w:val="7"/>
    <w:uiPriority w:val="0"/>
  </w:style>
  <w:style w:type="character" w:customStyle="1" w:styleId="15">
    <w:name w:val="info-expand-bt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1068</Characters>
  <Lines>8</Lines>
  <Paragraphs>2</Paragraphs>
  <TotalTime>217</TotalTime>
  <ScaleCrop>false</ScaleCrop>
  <LinksUpToDate>false</LinksUpToDate>
  <CharactersWithSpaces>1253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2020-08-14T00:19:13Z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