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b/>
                <w:sz w:val="20"/>
              </w:rPr>
              <w:t>北京晨航新材科技有限公司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Q：29.11.05;34.06.00</w:t>
            </w:r>
          </w:p>
          <w:p>
            <w:pPr>
              <w:snapToGrid w:val="0"/>
              <w:spacing w:line="280" w:lineRule="exact"/>
              <w:ind w:left="52"/>
              <w:jc w:val="center"/>
              <w:rPr>
                <w:b/>
                <w:sz w:val="20"/>
              </w:rPr>
            </w:pPr>
            <w:r>
              <w:rPr>
                <w:b/>
                <w:sz w:val="20"/>
              </w:rPr>
              <w:t>E：29.11.05;34.06.00</w:t>
            </w:r>
          </w:p>
          <w:p>
            <w:pPr>
              <w:snapToGrid w:val="0"/>
              <w:spacing w:line="280" w:lineRule="exact"/>
              <w:ind w:left="52"/>
              <w:jc w:val="center"/>
              <w:rPr>
                <w:b/>
                <w:sz w:val="20"/>
              </w:rPr>
            </w:pPr>
            <w:r>
              <w:rPr>
                <w:b/>
                <w:sz w:val="20"/>
              </w:rPr>
              <w:t>O：29.11.05;34.06.00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Q：29.11.05;34.06.00</w:t>
            </w:r>
          </w:p>
          <w:p>
            <w:pPr>
              <w:snapToGrid w:val="0"/>
              <w:spacing w:line="280" w:lineRule="exact"/>
              <w:ind w:left="52"/>
              <w:jc w:val="center"/>
              <w:rPr>
                <w:b/>
                <w:sz w:val="20"/>
              </w:rPr>
            </w:pPr>
            <w:r>
              <w:rPr>
                <w:b/>
                <w:sz w:val="20"/>
              </w:rPr>
              <w:t>E：29.11.05;34.06.00</w:t>
            </w:r>
          </w:p>
          <w:p>
            <w:pPr>
              <w:snapToGrid w:val="0"/>
              <w:spacing w:line="280" w:lineRule="exact"/>
              <w:jc w:val="center"/>
              <w:rPr>
                <w:b/>
                <w:sz w:val="20"/>
              </w:rPr>
            </w:pPr>
            <w:r>
              <w:rPr>
                <w:b/>
                <w:sz w:val="20"/>
              </w:rPr>
              <w:t>O：29.11.05;34.06.00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b/>
                <w:sz w:val="20"/>
              </w:rPr>
            </w:pPr>
            <w:r>
              <w:rPr>
                <w:rFonts w:hint="eastAsia"/>
                <w:b/>
                <w:sz w:val="20"/>
                <w:lang w:val="en-US" w:eastAsia="zh-CN"/>
              </w:rPr>
              <w:t>朱晓丽</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b/>
                <w:sz w:val="20"/>
              </w:rPr>
            </w:pPr>
            <w:r>
              <w:rPr>
                <w:rFonts w:hint="eastAsia"/>
                <w:b/>
                <w:sz w:val="20"/>
                <w:lang w:val="en-US" w:eastAsia="zh-CN"/>
              </w:rPr>
              <w:t>无</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rFonts w:hint="eastAsia" w:ascii="宋体" w:hAnsi="宋体"/>
                <w:b/>
                <w:bCs/>
                <w:szCs w:val="21"/>
              </w:rPr>
            </w:pPr>
            <w:r>
              <w:rPr>
                <w:rFonts w:hint="eastAsia" w:ascii="宋体" w:hAnsi="宋体"/>
                <w:b/>
                <w:bCs/>
                <w:szCs w:val="21"/>
                <w:lang w:eastAsia="zh-CN"/>
              </w:rPr>
              <w:t>技术服务</w:t>
            </w:r>
            <w:r>
              <w:rPr>
                <w:rFonts w:hint="eastAsia" w:ascii="宋体" w:hAnsi="宋体"/>
                <w:b/>
                <w:bCs/>
                <w:szCs w:val="21"/>
              </w:rPr>
              <w:t xml:space="preserve"> 流 程</w:t>
            </w:r>
          </w:p>
          <w:p>
            <w:pPr>
              <w:rPr>
                <w:rFonts w:hint="eastAsia" w:ascii="宋体" w:hAnsi="宋体"/>
                <w:szCs w:val="21"/>
              </w:rPr>
            </w:pPr>
            <w:r>
              <w:rPr>
                <w:rFonts w:hint="eastAsia" w:ascii="宋体" w:hAnsi="宋体"/>
                <w:szCs w:val="21"/>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szCs w:val="21"/>
              </w:rPr>
              <w:br w:type="textWrapping"/>
            </w:r>
            <w:r>
              <w:rPr>
                <w:rFonts w:hint="eastAsia" w:ascii="宋体" w:hAnsi="宋体"/>
                <w:szCs w:val="21"/>
              </w:rPr>
              <w:t xml:space="preserve"> </w:t>
            </w:r>
            <w:r>
              <w:rPr>
                <w:rFonts w:hint="eastAsia" w:ascii="宋体" w:hAnsi="宋体"/>
                <w:b/>
                <w:bCs/>
                <w:szCs w:val="21"/>
              </w:rPr>
              <w:t xml:space="preserve"> 销售</w:t>
            </w:r>
            <w:r>
              <w:rPr>
                <w:rFonts w:hint="eastAsia" w:ascii="宋体" w:hAnsi="宋体"/>
                <w:b/>
                <w:bCs/>
                <w:szCs w:val="21"/>
                <w:lang w:eastAsia="zh-CN"/>
              </w:rPr>
              <w:t>流程</w:t>
            </w:r>
            <w:r>
              <w:rPr>
                <w:rFonts w:hint="eastAsia" w:ascii="宋体" w:hAnsi="宋体"/>
                <w:b/>
                <w:bCs/>
                <w:szCs w:val="21"/>
              </w:rPr>
              <w:t>：</w:t>
            </w:r>
          </w:p>
          <w:p>
            <w:pPr>
              <w:rPr>
                <w:rFonts w:hint="eastAsia" w:ascii="华文中宋" w:hAnsi="华文中宋" w:eastAsia="华文中宋" w:cs="宋体"/>
                <w:b/>
                <w:color w:val="000000"/>
                <w:szCs w:val="21"/>
                <w:lang w:val="zh-CN"/>
              </w:rPr>
            </w:pPr>
            <w:r>
              <w:rPr>
                <w:rFonts w:hint="eastAsia" w:ascii="宋体" w:hAnsi="宋体"/>
                <w:szCs w:val="21"/>
              </w:rPr>
              <w:t xml:space="preserve">客户接触----合同评审----签订合同-----客户付款------入帐------采购-----客户提货-----验收-----发货-----收回单据-----交付 </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5"/>
            <w:vAlign w:val="center"/>
          </w:tcPr>
          <w:p>
            <w:pPr>
              <w:pStyle w:val="2"/>
              <w:rPr>
                <w:rFonts w:hint="default"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技术服务过程：</w:t>
            </w:r>
            <w:r>
              <w:rPr>
                <w:rFonts w:hint="default" w:ascii="宋体" w:hAnsi="宋体" w:eastAsia="宋体" w:cs="Times New Roman"/>
                <w:bCs w:val="0"/>
                <w:spacing w:val="0"/>
                <w:kern w:val="2"/>
                <w:sz w:val="24"/>
                <w:szCs w:val="21"/>
                <w:lang w:val="en-US" w:eastAsia="zh-CN" w:bidi="ar-SA"/>
              </w:rPr>
              <w:tab/>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1）有无作业指导书。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2）设备、工具是否通过验收检定。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3）是否规定并实施对设备、工具的保养和检查。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4）特殊过程的员工是否持证上岗。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5）现场观察、小样试验结果是否合格。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 xml:space="preserve">6）是否对过程参数进行监视并保持记录。                     </w:t>
            </w:r>
          </w:p>
          <w:p>
            <w:pPr>
              <w:pStyle w:val="2"/>
              <w:rPr>
                <w:rFonts w:hint="default" w:ascii="宋体" w:hAnsi="宋体" w:eastAsia="宋体" w:cs="Times New Roman"/>
                <w:bCs w:val="0"/>
                <w:spacing w:val="0"/>
                <w:kern w:val="2"/>
                <w:sz w:val="24"/>
                <w:szCs w:val="21"/>
                <w:lang w:val="en-US" w:eastAsia="zh-CN" w:bidi="ar-SA"/>
              </w:rPr>
            </w:pPr>
            <w:r>
              <w:rPr>
                <w:rFonts w:hint="default" w:ascii="宋体" w:hAnsi="宋体" w:eastAsia="宋体" w:cs="Times New Roman"/>
                <w:bCs w:val="0"/>
                <w:spacing w:val="0"/>
                <w:kern w:val="2"/>
                <w:sz w:val="24"/>
                <w:szCs w:val="21"/>
                <w:lang w:val="en-US" w:eastAsia="zh-CN" w:bidi="ar-SA"/>
              </w:rPr>
              <w:t>7）其他（如有可将相关内容附在此报告后）。</w:t>
            </w:r>
          </w:p>
          <w:p>
            <w:pPr>
              <w:rPr>
                <w:rFonts w:hint="eastAsia" w:ascii="宋体" w:hAnsi="宋体" w:eastAsia="宋体" w:cs="Times New Roman"/>
                <w:bCs w:val="0"/>
                <w:spacing w:val="0"/>
                <w:kern w:val="2"/>
                <w:sz w:val="24"/>
                <w:szCs w:val="21"/>
                <w:lang w:val="en-US" w:eastAsia="zh-CN" w:bidi="ar-SA"/>
              </w:rPr>
            </w:pPr>
          </w:p>
          <w:p>
            <w:pPr>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销售服务过程：</w:t>
            </w:r>
          </w:p>
          <w:p>
            <w:pPr>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产品:油漆（溶剂型粘合剂、漆用树脂）、涂料（水溶性粘合剂，乳液型粘合剂）</w:t>
            </w:r>
          </w:p>
          <w:p>
            <w:pPr>
              <w:pStyle w:val="2"/>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确认的服务过程有:</w:t>
            </w:r>
          </w:p>
          <w:p>
            <w:pPr>
              <w:pStyle w:val="2"/>
              <w:rPr>
                <w:rFonts w:hint="default"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1)接单:销售部业务员接收和接洽，是否有记录公司的《服务礼仪规定》能否满足要求，有无顾客投诉</w:t>
            </w:r>
          </w:p>
          <w:p>
            <w:pPr>
              <w:pStyle w:val="2"/>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2)采购:接收的产品销售任务是否及时传递到生产供方\编制“采购计划表”，是否及时跟踪并控制交货进度</w:t>
            </w:r>
          </w:p>
          <w:p>
            <w:pPr>
              <w:pStyle w:val="2"/>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3)发货:销售人员根据订单，直接从供应商处把货物发到客户，销售部业务人员要仔细核对发货信息、货物信息等，是否检查防护措施/顾客要求时，是否按提供质量保证资料</w:t>
            </w:r>
          </w:p>
          <w:p>
            <w:pPr>
              <w:rPr>
                <w:rFonts w:hint="eastAsia" w:ascii="宋体" w:hAnsi="宋体" w:eastAsia="宋体" w:cs="Times New Roman"/>
                <w:bCs w:val="0"/>
                <w:spacing w:val="0"/>
                <w:kern w:val="2"/>
                <w:sz w:val="24"/>
                <w:szCs w:val="21"/>
                <w:lang w:val="en-US" w:eastAsia="zh-CN" w:bidi="ar-SA"/>
              </w:rPr>
            </w:pPr>
            <w:r>
              <w:rPr>
                <w:rFonts w:hint="eastAsia" w:ascii="宋体" w:hAnsi="宋体" w:eastAsia="宋体" w:cs="Times New Roman"/>
                <w:bCs w:val="0"/>
                <w:spacing w:val="0"/>
                <w:kern w:val="2"/>
                <w:sz w:val="24"/>
                <w:szCs w:val="21"/>
                <w:lang w:val="en-US" w:eastAsia="zh-CN" w:bidi="ar-SA"/>
              </w:rPr>
              <w:t>4)售后服务:提交产品后，销售部是否去电话询问产品质量情况/顾客有上门服务要求时，是否在规定时间内予以答复并填写质量信息记录和顾客服务记录</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snapToGrid w:val="0"/>
              <w:spacing w:line="280" w:lineRule="exact"/>
              <w:jc w:val="center"/>
              <w:rPr>
                <w:b/>
                <w:sz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rPr>
                <w:rFonts w:hint="eastAsia" w:ascii="宋体" w:hAnsi="宋体"/>
                <w:szCs w:val="21"/>
              </w:rPr>
            </w:pPr>
            <w:r>
              <w:rPr>
                <w:rFonts w:hint="eastAsia" w:ascii="宋体" w:hAnsi="宋体"/>
                <w:szCs w:val="21"/>
              </w:rPr>
              <w:t>GB/T 9750 涂料产品包装标志</w:t>
            </w:r>
          </w:p>
          <w:p>
            <w:pPr>
              <w:rPr>
                <w:rFonts w:hint="eastAsia" w:ascii="宋体" w:hAnsi="宋体"/>
                <w:szCs w:val="21"/>
              </w:rPr>
            </w:pPr>
            <w:r>
              <w:rPr>
                <w:rFonts w:hint="eastAsia" w:ascii="宋体" w:hAnsi="宋体"/>
                <w:szCs w:val="21"/>
              </w:rPr>
              <w:t>GB/T 9755-2001 合成树脂乳液外墙涂料</w:t>
            </w:r>
          </w:p>
          <w:p>
            <w:pPr>
              <w:rPr>
                <w:rFonts w:hint="eastAsia" w:ascii="宋体" w:hAnsi="宋体"/>
                <w:szCs w:val="21"/>
              </w:rPr>
            </w:pPr>
            <w:r>
              <w:rPr>
                <w:rFonts w:hint="eastAsia" w:ascii="宋体" w:hAnsi="宋体"/>
                <w:szCs w:val="21"/>
              </w:rPr>
              <w:t>GB/T 13491 涂料产品包装通则</w:t>
            </w:r>
          </w:p>
          <w:p>
            <w:pPr>
              <w:rPr>
                <w:rFonts w:hint="eastAsia" w:ascii="宋体" w:hAnsi="宋体"/>
                <w:szCs w:val="21"/>
              </w:rPr>
            </w:pPr>
            <w:r>
              <w:rPr>
                <w:rFonts w:hint="eastAsia" w:ascii="宋体" w:hAnsi="宋体"/>
                <w:szCs w:val="21"/>
              </w:rPr>
              <w:t>HG/T 2458 涂料产品检验、运输和储存通则</w:t>
            </w:r>
          </w:p>
          <w:p>
            <w:pPr>
              <w:rPr>
                <w:rFonts w:hint="eastAsia" w:ascii="宋体" w:hAnsi="宋体"/>
                <w:szCs w:val="21"/>
              </w:rPr>
            </w:pPr>
            <w:r>
              <w:rPr>
                <w:rFonts w:hint="eastAsia" w:ascii="宋体" w:hAnsi="宋体"/>
                <w:szCs w:val="21"/>
              </w:rPr>
              <w:t>内墙乳胶漆GB/T9756-2001</w:t>
            </w:r>
          </w:p>
          <w:p>
            <w:pPr>
              <w:rPr>
                <w:rFonts w:hint="eastAsia" w:ascii="宋体" w:hAnsi="宋体"/>
                <w:szCs w:val="21"/>
              </w:rPr>
            </w:pPr>
            <w:r>
              <w:rPr>
                <w:rFonts w:hint="eastAsia" w:ascii="宋体" w:hAnsi="宋体"/>
                <w:szCs w:val="21"/>
              </w:rPr>
              <w:t>外墙乳胶漆GB/T9755-2001</w:t>
            </w:r>
          </w:p>
          <w:p>
            <w:pPr>
              <w:rPr>
                <w:rFonts w:hint="eastAsia" w:ascii="宋体" w:hAnsi="宋体"/>
                <w:szCs w:val="21"/>
              </w:rPr>
            </w:pPr>
            <w:r>
              <w:rPr>
                <w:rFonts w:hint="eastAsia" w:ascii="宋体" w:hAnsi="宋体"/>
                <w:szCs w:val="21"/>
              </w:rPr>
              <w:t>溶剂型外墙涂料GB/T9757-2001</w:t>
            </w:r>
          </w:p>
          <w:p>
            <w:pPr>
              <w:rPr>
                <w:rFonts w:hint="eastAsia" w:ascii="宋体" w:hAnsi="宋体"/>
                <w:szCs w:val="21"/>
              </w:rPr>
            </w:pPr>
            <w:r>
              <w:rPr>
                <w:rFonts w:hint="eastAsia" w:ascii="宋体" w:hAnsi="宋体"/>
                <w:szCs w:val="21"/>
              </w:rPr>
              <w:t>合成树脂乳液砂壁状建筑涂料JG/T24-2002</w:t>
            </w:r>
          </w:p>
          <w:p>
            <w:pPr>
              <w:rPr>
                <w:rFonts w:hint="eastAsia" w:ascii="宋体" w:hAnsi="宋体"/>
                <w:szCs w:val="21"/>
              </w:rPr>
            </w:pPr>
            <w:r>
              <w:rPr>
                <w:rFonts w:hint="eastAsia" w:ascii="宋体" w:hAnsi="宋体"/>
                <w:szCs w:val="21"/>
              </w:rPr>
              <w:t>交联型氟树脂涂料HG/T3792-2005</w:t>
            </w:r>
          </w:p>
          <w:p>
            <w:pPr>
              <w:rPr>
                <w:rFonts w:hint="eastAsia" w:ascii="宋体" w:hAnsi="宋体"/>
                <w:szCs w:val="21"/>
              </w:rPr>
            </w:pPr>
            <w:r>
              <w:rPr>
                <w:rFonts w:hint="eastAsia" w:ascii="宋体" w:hAnsi="宋体"/>
                <w:szCs w:val="21"/>
              </w:rPr>
              <w:t>合成树脂幕墙JG/T205-2007</w:t>
            </w:r>
          </w:p>
          <w:p>
            <w:pPr>
              <w:rPr>
                <w:rFonts w:hint="eastAsia" w:ascii="宋体" w:hAnsi="宋体"/>
                <w:szCs w:val="21"/>
              </w:rPr>
            </w:pPr>
            <w:r>
              <w:rPr>
                <w:rFonts w:hint="eastAsia" w:ascii="宋体" w:hAnsi="宋体"/>
                <w:szCs w:val="21"/>
              </w:rPr>
              <w:t>GB/T 9266-1988 建筑涂料 涂层耐洗刷性的测定</w:t>
            </w:r>
          </w:p>
          <w:p>
            <w:pPr>
              <w:rPr>
                <w:rFonts w:hint="eastAsia" w:ascii="宋体" w:hAnsi="宋体"/>
                <w:szCs w:val="21"/>
              </w:rPr>
            </w:pPr>
            <w:r>
              <w:rPr>
                <w:rFonts w:hint="eastAsia" w:ascii="宋体" w:hAnsi="宋体"/>
                <w:szCs w:val="21"/>
              </w:rPr>
              <w:t>GB 3186 涂料产品的取样</w:t>
            </w:r>
          </w:p>
          <w:p>
            <w:pPr>
              <w:rPr>
                <w:rFonts w:hint="eastAsia" w:ascii="宋体" w:hAnsi="宋体"/>
                <w:szCs w:val="21"/>
              </w:rPr>
            </w:pPr>
            <w:r>
              <w:rPr>
                <w:rFonts w:hint="eastAsia" w:ascii="宋体" w:hAnsi="宋体"/>
                <w:szCs w:val="21"/>
              </w:rPr>
              <w:t>GB/T 1766-1995 色漆和清漆 涂层老化的评级方法</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center"/>
              <w:rPr>
                <w:rFonts w:hint="default" w:eastAsia="宋体"/>
                <w:b/>
                <w:sz w:val="20"/>
                <w:lang w:val="en-US" w:eastAsia="zh-CN"/>
              </w:rPr>
            </w:pPr>
            <w:r>
              <w:rPr>
                <w:rFonts w:hint="eastAsia"/>
                <w:b/>
                <w:sz w:val="20"/>
                <w:lang w:val="en-US" w:eastAsia="zh-CN"/>
              </w:rPr>
              <w:t>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pacing w:val="-6"/>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2020.8.17</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2020.8.17</w:t>
      </w:r>
      <w:bookmarkStart w:id="6" w:name="_GoBack"/>
      <w:bookmarkEnd w:id="6"/>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3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2020-08-18T08:16:05Z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