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color w:val="auto"/>
          <w:sz w:val="21"/>
          <w:szCs w:val="21"/>
        </w:rPr>
        <w:t>0326-2020-QEO</w:t>
      </w:r>
      <w:bookmarkEnd w:id="0"/>
    </w:p>
    <w:p>
      <w:pPr>
        <w:snapToGrid w:val="0"/>
        <w:spacing w:line="0" w:lineRule="atLeast"/>
        <w:jc w:val="center"/>
        <w:rPr>
          <w:rFonts w:eastAsia="LiSu"/>
          <w:b/>
          <w:color w:val="auto"/>
          <w:sz w:val="30"/>
          <w:szCs w:val="30"/>
        </w:rPr>
      </w:pPr>
      <w:r>
        <w:rPr>
          <w:rFonts w:hint="eastAsia" w:eastAsia="LiSu"/>
          <w:b/>
          <w:color w:val="auto"/>
          <w:sz w:val="30"/>
          <w:szCs w:val="30"/>
        </w:rPr>
        <w:t>组织认证证书信息确认书</w:t>
      </w:r>
    </w:p>
    <w:p>
      <w:pPr>
        <w:pStyle w:val="2"/>
        <w:spacing w:line="240" w:lineRule="auto"/>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240" w:lineRule="auto"/>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内蒙古正融电气有限公司</w:t>
      </w:r>
      <w:bookmarkEnd w:id="1"/>
    </w:p>
    <w:p>
      <w:pPr>
        <w:pStyle w:val="2"/>
        <w:spacing w:line="240" w:lineRule="auto"/>
        <w:ind w:firstLineChars="286"/>
        <w:rPr>
          <w:b/>
          <w:color w:val="auto"/>
          <w:sz w:val="22"/>
          <w:szCs w:val="22"/>
          <w:u w:val="single"/>
        </w:rPr>
      </w:pPr>
      <w:r>
        <w:rPr>
          <w:rFonts w:hint="eastAsia"/>
          <w:b/>
          <w:color w:val="auto"/>
          <w:sz w:val="22"/>
          <w:szCs w:val="22"/>
        </w:rPr>
        <w:t>(英文)：</w:t>
      </w:r>
      <w:bookmarkStart w:id="2" w:name="组织名称英"/>
      <w:bookmarkEnd w:id="2"/>
      <w:r>
        <w:rPr>
          <w:rFonts w:hint="eastAsia"/>
          <w:b/>
          <w:color w:val="auto"/>
          <w:sz w:val="22"/>
          <w:szCs w:val="22"/>
        </w:rPr>
        <w:t>Inner Mongolia Zhengrong Electric  Co.，Ltd</w:t>
      </w:r>
    </w:p>
    <w:p>
      <w:pPr>
        <w:pStyle w:val="2"/>
        <w:spacing w:line="240" w:lineRule="auto"/>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内蒙古自治区呼和浩特市新城区兴安北路84号鼎盛华世纪广场11楼11002</w:t>
      </w:r>
      <w:bookmarkEnd w:id="3"/>
      <w:r>
        <w:rPr>
          <w:rFonts w:hint="eastAsia"/>
          <w:b/>
          <w:color w:val="auto"/>
          <w:sz w:val="22"/>
          <w:szCs w:val="22"/>
        </w:rPr>
        <w:t xml:space="preserve"> 邮编</w:t>
      </w:r>
      <w:r>
        <w:rPr>
          <w:rFonts w:hint="eastAsia" w:ascii="宋体" w:hAnsi="宋体"/>
          <w:b/>
          <w:color w:val="auto"/>
          <w:sz w:val="22"/>
          <w:szCs w:val="22"/>
        </w:rPr>
        <w:t xml:space="preserve">: </w:t>
      </w:r>
      <w:r>
        <w:rPr>
          <w:rFonts w:hint="eastAsia"/>
          <w:b/>
          <w:color w:val="auto"/>
          <w:sz w:val="22"/>
          <w:szCs w:val="22"/>
        </w:rPr>
        <w:t>010000</w:t>
      </w:r>
    </w:p>
    <w:p>
      <w:pPr>
        <w:pStyle w:val="2"/>
        <w:spacing w:line="240" w:lineRule="auto"/>
        <w:ind w:firstLineChars="286"/>
        <w:rPr>
          <w:b/>
          <w:color w:val="auto"/>
          <w:sz w:val="22"/>
          <w:szCs w:val="22"/>
          <w:u w:val="single"/>
        </w:rPr>
      </w:pPr>
      <w:r>
        <w:rPr>
          <w:rFonts w:hint="eastAsia"/>
          <w:b/>
          <w:color w:val="auto"/>
          <w:sz w:val="22"/>
          <w:szCs w:val="22"/>
        </w:rPr>
        <w:t>(英文)：11002,11</w:t>
      </w:r>
      <w:r>
        <w:rPr>
          <w:rFonts w:hint="eastAsia"/>
          <w:b/>
          <w:color w:val="auto"/>
          <w:sz w:val="22"/>
          <w:szCs w:val="22"/>
          <w:lang w:val="en-US" w:eastAsia="zh-CN"/>
        </w:rPr>
        <w:t xml:space="preserve">th </w:t>
      </w:r>
      <w:r>
        <w:rPr>
          <w:rFonts w:hint="eastAsia"/>
          <w:b/>
          <w:color w:val="auto"/>
          <w:sz w:val="22"/>
          <w:szCs w:val="22"/>
        </w:rPr>
        <w:t>Floor, DingshengHua Century Square, 84xing</w:t>
      </w:r>
      <w:r>
        <w:rPr>
          <w:rFonts w:hint="eastAsia" w:ascii="Arial Unicode MS" w:hAnsi="Arial Unicode MS" w:eastAsia="Arial Unicode MS" w:cs="Arial Unicode MS"/>
          <w:b/>
          <w:color w:val="auto"/>
          <w:sz w:val="22"/>
          <w:szCs w:val="22"/>
        </w:rPr>
        <w:t>＇an North Road, Xincheng District, Hohhot, Inner Mongolia Autonomous Region  Zip code 010000</w:t>
      </w:r>
    </w:p>
    <w:p>
      <w:pPr>
        <w:pStyle w:val="2"/>
        <w:spacing w:line="240" w:lineRule="auto"/>
        <w:ind w:firstLine="0"/>
        <w:rPr>
          <w:b/>
          <w:color w:val="auto"/>
          <w:sz w:val="22"/>
          <w:szCs w:val="22"/>
        </w:rPr>
      </w:pPr>
      <w:r>
        <w:rPr>
          <w:rFonts w:hint="eastAsia"/>
          <w:b/>
          <w:color w:val="auto"/>
          <w:sz w:val="22"/>
          <w:szCs w:val="22"/>
        </w:rPr>
        <w:t>组织经营地址(中文)：</w:t>
      </w:r>
      <w:bookmarkStart w:id="4" w:name="生产地址"/>
      <w:r>
        <w:rPr>
          <w:rFonts w:hint="eastAsia"/>
          <w:b/>
          <w:color w:val="auto"/>
          <w:sz w:val="22"/>
          <w:szCs w:val="22"/>
        </w:rPr>
        <w:t>内蒙古自治区呼和浩特市新城区兴安北路84号鼎盛华世纪广场11楼11002</w:t>
      </w:r>
      <w:bookmarkEnd w:id="4"/>
      <w:r>
        <w:rPr>
          <w:rFonts w:hint="eastAsia"/>
          <w:b/>
          <w:color w:val="auto"/>
          <w:sz w:val="22"/>
          <w:szCs w:val="22"/>
        </w:rPr>
        <w:t xml:space="preserve"> 邮编</w:t>
      </w:r>
      <w:r>
        <w:rPr>
          <w:rFonts w:hint="eastAsia" w:ascii="宋体" w:hAnsi="宋体"/>
          <w:b/>
          <w:color w:val="auto"/>
          <w:sz w:val="22"/>
          <w:szCs w:val="22"/>
        </w:rPr>
        <w:t>:</w:t>
      </w:r>
      <w:r>
        <w:rPr>
          <w:rFonts w:hint="eastAsia"/>
          <w:b/>
          <w:color w:val="auto"/>
          <w:sz w:val="22"/>
          <w:szCs w:val="22"/>
        </w:rPr>
        <w:t>010000</w:t>
      </w:r>
    </w:p>
    <w:p>
      <w:pPr>
        <w:pStyle w:val="2"/>
        <w:spacing w:line="240" w:lineRule="auto"/>
        <w:ind w:firstLineChars="286"/>
        <w:rPr>
          <w:b/>
          <w:color w:val="auto"/>
          <w:sz w:val="22"/>
          <w:szCs w:val="22"/>
          <w:u w:val="single"/>
        </w:rPr>
      </w:pPr>
      <w:r>
        <w:rPr>
          <w:rFonts w:hint="eastAsia"/>
          <w:b/>
          <w:color w:val="auto"/>
          <w:sz w:val="22"/>
          <w:szCs w:val="22"/>
        </w:rPr>
        <w:t>(英文)：11002,11</w:t>
      </w:r>
      <w:r>
        <w:rPr>
          <w:rFonts w:hint="eastAsia"/>
          <w:b/>
          <w:color w:val="auto"/>
          <w:sz w:val="22"/>
          <w:szCs w:val="22"/>
          <w:lang w:val="en-US" w:eastAsia="zh-CN"/>
        </w:rPr>
        <w:t xml:space="preserve">th </w:t>
      </w:r>
      <w:r>
        <w:rPr>
          <w:rFonts w:hint="eastAsia"/>
          <w:b/>
          <w:color w:val="auto"/>
          <w:sz w:val="22"/>
          <w:szCs w:val="22"/>
        </w:rPr>
        <w:t>Floor, DingshengHua Century Square, 84xing</w:t>
      </w:r>
      <w:r>
        <w:rPr>
          <w:rFonts w:hint="eastAsia" w:ascii="Arial Unicode MS" w:hAnsi="Arial Unicode MS" w:eastAsia="Arial Unicode MS" w:cs="Arial Unicode MS"/>
          <w:b/>
          <w:color w:val="auto"/>
          <w:sz w:val="22"/>
          <w:szCs w:val="22"/>
        </w:rPr>
        <w:t>＇an North Road, Xincheng District, Hohhot, Inner Mongolia Autonomous Region  Zip code 010000</w:t>
      </w:r>
    </w:p>
    <w:p>
      <w:pPr>
        <w:pStyle w:val="2"/>
        <w:spacing w:line="240" w:lineRule="auto"/>
        <w:ind w:firstLine="0"/>
        <w:rPr>
          <w:b/>
          <w:color w:val="auto"/>
          <w:sz w:val="22"/>
          <w:szCs w:val="22"/>
          <w:u w:val="single"/>
        </w:rPr>
      </w:pPr>
      <w:r>
        <w:rPr>
          <w:rFonts w:hint="eastAsia"/>
          <w:b/>
          <w:color w:val="auto"/>
          <w:sz w:val="22"/>
          <w:szCs w:val="22"/>
        </w:rPr>
        <w:t>组织机构代码证号（社会信用号）：</w:t>
      </w:r>
      <w:bookmarkStart w:id="5" w:name="机构代码"/>
      <w:r>
        <w:rPr>
          <w:rFonts w:hint="eastAsia"/>
          <w:b/>
          <w:color w:val="auto"/>
          <w:sz w:val="22"/>
          <w:szCs w:val="22"/>
        </w:rPr>
        <w:t>91150102588839498H</w:t>
      </w:r>
      <w:bookmarkEnd w:id="5"/>
      <w:r>
        <w:rPr>
          <w:rFonts w:hint="eastAsia"/>
          <w:b/>
          <w:color w:val="auto"/>
          <w:sz w:val="22"/>
          <w:szCs w:val="22"/>
          <w:lang w:val="en-US" w:eastAsia="zh-CN"/>
        </w:rPr>
        <w:t xml:space="preserve">       </w:t>
      </w:r>
      <w:r>
        <w:rPr>
          <w:rFonts w:hint="eastAsia"/>
          <w:b/>
          <w:color w:val="auto"/>
          <w:sz w:val="22"/>
          <w:szCs w:val="22"/>
        </w:rPr>
        <w:t>电话.：</w:t>
      </w:r>
      <w:bookmarkStart w:id="6" w:name="联系人电话"/>
      <w:r>
        <w:rPr>
          <w:b/>
          <w:color w:val="auto"/>
          <w:sz w:val="22"/>
          <w:szCs w:val="22"/>
          <w:u w:val="single"/>
        </w:rPr>
        <w:t>15352852383</w:t>
      </w:r>
      <w:bookmarkEnd w:id="6"/>
    </w:p>
    <w:p>
      <w:pPr>
        <w:pStyle w:val="2"/>
        <w:spacing w:beforeLines="50" w:line="240" w:lineRule="auto"/>
        <w:ind w:firstLine="0"/>
        <w:rPr>
          <w:b/>
          <w:color w:val="auto"/>
          <w:sz w:val="22"/>
          <w:szCs w:val="22"/>
        </w:rPr>
      </w:pPr>
      <w:r>
        <w:rPr>
          <w:rFonts w:hint="eastAsia"/>
          <w:b/>
          <w:color w:val="auto"/>
          <w:sz w:val="22"/>
          <w:szCs w:val="22"/>
        </w:rPr>
        <w:t>法人代表：</w:t>
      </w:r>
      <w:bookmarkStart w:id="7" w:name="法人"/>
      <w:r>
        <w:rPr>
          <w:rFonts w:hint="eastAsia"/>
          <w:b/>
          <w:color w:val="auto"/>
          <w:sz w:val="22"/>
          <w:szCs w:val="22"/>
        </w:rPr>
        <w:t>郑洲</w:t>
      </w:r>
      <w:bookmarkEnd w:id="7"/>
      <w:r>
        <w:rPr>
          <w:rFonts w:hint="eastAsia"/>
          <w:b/>
          <w:color w:val="auto"/>
          <w:sz w:val="22"/>
          <w:szCs w:val="22"/>
          <w:lang w:val="en-US" w:eastAsia="zh-CN"/>
        </w:rPr>
        <w:t xml:space="preserve">              </w:t>
      </w:r>
      <w:r>
        <w:rPr>
          <w:rFonts w:hint="eastAsia"/>
          <w:b/>
          <w:color w:val="auto"/>
          <w:sz w:val="22"/>
          <w:szCs w:val="22"/>
        </w:rPr>
        <w:t>管代/联系人(职务)：</w:t>
      </w:r>
      <w:bookmarkStart w:id="8" w:name="管理者代表"/>
      <w:r>
        <w:rPr>
          <w:rFonts w:hint="eastAsia"/>
          <w:b/>
          <w:color w:val="auto"/>
          <w:sz w:val="22"/>
          <w:szCs w:val="22"/>
        </w:rPr>
        <w:t>郭瑞蓉</w:t>
      </w:r>
      <w:bookmarkEnd w:id="8"/>
      <w:r>
        <w:rPr>
          <w:rFonts w:hint="eastAsia"/>
          <w:b/>
          <w:color w:val="auto"/>
          <w:sz w:val="22"/>
          <w:szCs w:val="22"/>
          <w:lang w:val="en-US" w:eastAsia="zh-CN"/>
        </w:rPr>
        <w:t xml:space="preserve">    </w:t>
      </w:r>
      <w:r>
        <w:rPr>
          <w:rFonts w:hint="eastAsia"/>
          <w:b/>
          <w:color w:val="auto"/>
          <w:sz w:val="22"/>
          <w:szCs w:val="22"/>
        </w:rPr>
        <w:t xml:space="preserve">组织人数： </w:t>
      </w:r>
      <w:bookmarkStart w:id="9" w:name="企业人数"/>
      <w:r>
        <w:rPr>
          <w:b/>
          <w:color w:val="auto"/>
          <w:sz w:val="22"/>
          <w:szCs w:val="22"/>
        </w:rPr>
        <w:t>15</w:t>
      </w:r>
      <w:bookmarkEnd w:id="9"/>
    </w:p>
    <w:p>
      <w:pPr>
        <w:pStyle w:val="2"/>
        <w:spacing w:beforeLines="50" w:line="240" w:lineRule="auto"/>
        <w:ind w:firstLine="0"/>
        <w:rPr>
          <w:b/>
          <w:color w:val="auto"/>
          <w:sz w:val="22"/>
          <w:szCs w:val="22"/>
        </w:rPr>
      </w:pPr>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10" w:name="审核依据"/>
      <w:r>
        <w:rPr>
          <w:rFonts w:hint="eastAsia" w:ascii="宋体" w:hAnsi="宋体"/>
          <w:b/>
          <w:color w:val="auto"/>
          <w:sz w:val="22"/>
          <w:szCs w:val="22"/>
          <w:u w:val="single"/>
        </w:rPr>
        <w:t>Q：GB/T19001-2016/ISO9001:2015,E：GB/T 24001-2016/ISO14001:2015,O：GB/T45001-2020 / ISO45001：2018</w:t>
      </w:r>
      <w:bookmarkEnd w:id="10"/>
      <w:r>
        <w:rPr>
          <w:rFonts w:hint="eastAsia"/>
          <w:b/>
          <w:color w:val="auto"/>
          <w:spacing w:val="-2"/>
          <w:sz w:val="22"/>
          <w:szCs w:val="22"/>
        </w:rPr>
        <w:t>认证类型：</w:t>
      </w:r>
      <w:bookmarkStart w:id="11" w:name="审核类型"/>
      <w:r>
        <w:rPr>
          <w:rFonts w:hint="eastAsia"/>
          <w:b/>
          <w:color w:val="auto"/>
          <w:spacing w:val="-2"/>
          <w:sz w:val="22"/>
          <w:szCs w:val="22"/>
        </w:rPr>
        <w:t>Q:二阶段,E:二阶段,O:二阶段</w:t>
      </w:r>
      <w:bookmarkEnd w:id="11"/>
    </w:p>
    <w:p>
      <w:pPr>
        <w:pStyle w:val="2"/>
        <w:spacing w:line="240" w:lineRule="auto"/>
        <w:ind w:firstLine="0"/>
        <w:rPr>
          <w:b/>
          <w:color w:val="auto"/>
          <w:sz w:val="22"/>
          <w:szCs w:val="22"/>
        </w:rPr>
      </w:pPr>
      <w:r>
        <w:rPr>
          <w:rFonts w:hint="eastAsia"/>
          <w:b/>
          <w:color w:val="auto"/>
          <w:sz w:val="22"/>
          <w:szCs w:val="22"/>
        </w:rPr>
        <w:t>变更内容：□组织名称变更□地址变更□认证范围变更（□扩大</w:t>
      </w:r>
      <w:bookmarkStart w:id="14" w:name="_GoBack"/>
      <w:bookmarkEnd w:id="14"/>
      <w:r>
        <w:rPr>
          <w:rFonts w:hint="eastAsia"/>
          <w:b/>
          <w:color w:val="auto"/>
          <w:sz w:val="22"/>
          <w:szCs w:val="22"/>
        </w:rPr>
        <w:sym w:font="Wingdings 2" w:char="0052"/>
      </w:r>
      <w:r>
        <w:rPr>
          <w:rFonts w:hint="eastAsia"/>
          <w:b/>
          <w:color w:val="auto"/>
          <w:sz w:val="22"/>
          <w:szCs w:val="22"/>
        </w:rPr>
        <w:t>缩小）</w:t>
      </w:r>
    </w:p>
    <w:p>
      <w:pPr>
        <w:pStyle w:val="2"/>
        <w:spacing w:line="240" w:lineRule="auto"/>
        <w:ind w:firstLine="0"/>
        <w:rPr>
          <w:b/>
          <w:color w:val="auto"/>
          <w:sz w:val="22"/>
          <w:szCs w:val="22"/>
        </w:rPr>
      </w:pPr>
      <w:bookmarkStart w:id="12" w:name="审核范围"/>
      <w:r>
        <w:rPr>
          <w:rFonts w:hint="eastAsia"/>
          <w:b/>
          <w:color w:val="auto"/>
          <w:sz w:val="22"/>
          <w:szCs w:val="22"/>
        </w:rPr>
        <w:t>Q：</w:t>
      </w:r>
      <w:r>
        <w:rPr>
          <w:rFonts w:hint="eastAsia"/>
          <w:b/>
          <w:color w:val="auto"/>
          <w:sz w:val="22"/>
          <w:szCs w:val="22"/>
        </w:rPr>
        <w:t>电线电缆、灯具、灯饰及配件、高低压开关柜、仪器仪表、电力设备及配件的销售</w:t>
      </w:r>
    </w:p>
    <w:p>
      <w:pPr>
        <w:pStyle w:val="2"/>
        <w:spacing w:line="240" w:lineRule="auto"/>
        <w:ind w:firstLineChars="286"/>
        <w:rPr>
          <w:b/>
          <w:color w:val="auto"/>
          <w:sz w:val="22"/>
          <w:szCs w:val="22"/>
          <w:u w:val="single"/>
        </w:rPr>
      </w:pPr>
      <w:r>
        <w:rPr>
          <w:rFonts w:hint="eastAsia"/>
          <w:b/>
          <w:color w:val="auto"/>
          <w:sz w:val="22"/>
          <w:szCs w:val="22"/>
        </w:rPr>
        <w:t>(英文)：Wire and cable,lamps and lanterns,lighting and accessories,high and low voltage switchgear,instrumentation,electrical equipment and accessories sales.</w:t>
      </w:r>
    </w:p>
    <w:p>
      <w:pPr>
        <w:pStyle w:val="2"/>
        <w:spacing w:line="240" w:lineRule="auto"/>
        <w:ind w:firstLine="0"/>
        <w:rPr>
          <w:b/>
          <w:color w:val="auto"/>
          <w:sz w:val="22"/>
          <w:szCs w:val="22"/>
        </w:rPr>
      </w:pPr>
    </w:p>
    <w:p>
      <w:pPr>
        <w:pStyle w:val="2"/>
        <w:spacing w:line="240" w:lineRule="auto"/>
        <w:ind w:firstLine="0"/>
        <w:rPr>
          <w:b/>
          <w:color w:val="auto"/>
          <w:sz w:val="22"/>
          <w:szCs w:val="22"/>
        </w:rPr>
      </w:pPr>
      <w:r>
        <w:rPr>
          <w:rFonts w:hint="eastAsia"/>
          <w:b/>
          <w:color w:val="auto"/>
          <w:sz w:val="22"/>
          <w:szCs w:val="22"/>
        </w:rPr>
        <w:t>E：电线电缆、灯具、灯饰及配件、高低压开关柜、仪器仪表、电力设备及配件的销售及相关环境管理活动</w:t>
      </w:r>
    </w:p>
    <w:p>
      <w:pPr>
        <w:pStyle w:val="2"/>
        <w:spacing w:line="240" w:lineRule="auto"/>
        <w:ind w:firstLineChars="286"/>
        <w:rPr>
          <w:b/>
          <w:color w:val="auto"/>
          <w:sz w:val="22"/>
          <w:szCs w:val="22"/>
          <w:u w:val="single"/>
        </w:rPr>
      </w:pPr>
      <w:r>
        <w:rPr>
          <w:rFonts w:hint="eastAsia"/>
          <w:b/>
          <w:color w:val="auto"/>
          <w:sz w:val="22"/>
          <w:szCs w:val="22"/>
        </w:rPr>
        <w:t>(英文)：Sales of electric wires and cables,lamps,lighting and accessories,high and low voltage switchgear,instruments and meters,electrical equipment and accessories and related environmental management activities.</w:t>
      </w:r>
    </w:p>
    <w:p>
      <w:pPr>
        <w:pStyle w:val="2"/>
        <w:spacing w:line="240" w:lineRule="auto"/>
        <w:ind w:firstLine="0"/>
        <w:rPr>
          <w:b/>
          <w:color w:val="auto"/>
          <w:sz w:val="22"/>
          <w:szCs w:val="22"/>
        </w:rPr>
      </w:pPr>
    </w:p>
    <w:p>
      <w:pPr>
        <w:pStyle w:val="2"/>
        <w:spacing w:line="240" w:lineRule="auto"/>
        <w:ind w:firstLine="0"/>
        <w:rPr>
          <w:b/>
          <w:color w:val="auto"/>
          <w:sz w:val="22"/>
          <w:szCs w:val="22"/>
        </w:rPr>
      </w:pPr>
      <w:r>
        <w:rPr>
          <w:rFonts w:hint="eastAsia"/>
          <w:b/>
          <w:color w:val="auto"/>
          <w:sz w:val="22"/>
          <w:szCs w:val="22"/>
        </w:rPr>
        <w:t>O：电线电缆、灯具、灯饰及配件、高低压开关柜、仪器仪表、电力设备及配件的销售及相关职业健康安全管理活动</w:t>
      </w:r>
      <w:bookmarkEnd w:id="12"/>
      <w:bookmarkStart w:id="13" w:name="审核范围英"/>
    </w:p>
    <w:p>
      <w:pPr>
        <w:pStyle w:val="2"/>
        <w:spacing w:line="240" w:lineRule="auto"/>
        <w:ind w:firstLineChars="286"/>
        <w:rPr>
          <w:b/>
          <w:color w:val="auto"/>
          <w:sz w:val="22"/>
          <w:szCs w:val="22"/>
          <w:u w:val="single"/>
        </w:rPr>
      </w:pPr>
      <w:r>
        <w:rPr>
          <w:rFonts w:hint="eastAsia"/>
          <w:b/>
          <w:color w:val="auto"/>
          <w:sz w:val="22"/>
          <w:szCs w:val="22"/>
        </w:rPr>
        <w:t>(英文)：Sales of electric wires and cables,lamps and lanterns,lighting and accessories,high and low voltage switchgear,instruments and meters,electrical equipment and accessories and related occupational health and safety management activities</w:t>
      </w:r>
    </w:p>
    <w:p>
      <w:pPr>
        <w:pStyle w:val="2"/>
        <w:spacing w:line="240" w:lineRule="auto"/>
        <w:ind w:firstLine="0"/>
        <w:rPr>
          <w:b/>
          <w:color w:val="auto"/>
          <w:sz w:val="22"/>
          <w:szCs w:val="22"/>
        </w:rPr>
      </w:pPr>
    </w:p>
    <w:bookmarkEnd w:id="13"/>
    <w:p>
      <w:pPr>
        <w:pStyle w:val="2"/>
        <w:spacing w:line="240" w:lineRule="auto"/>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240" w:lineRule="auto"/>
        <w:ind w:firstLine="0"/>
        <w:rPr>
          <w:b/>
          <w:color w:val="auto"/>
          <w:sz w:val="22"/>
          <w:szCs w:val="22"/>
        </w:rPr>
      </w:pPr>
      <w:r>
        <w:rPr>
          <w:color w:val="auto"/>
        </w:rPr>
        <w:drawing>
          <wp:anchor distT="0" distB="0" distL="114300" distR="114300" simplePos="0" relativeHeight="251689984" behindDoc="0" locked="0" layoutInCell="1" allowOverlap="1">
            <wp:simplePos x="0" y="0"/>
            <wp:positionH relativeFrom="column">
              <wp:posOffset>4063365</wp:posOffset>
            </wp:positionH>
            <wp:positionV relativeFrom="paragraph">
              <wp:posOffset>217805</wp:posOffset>
            </wp:positionV>
            <wp:extent cx="626745" cy="274320"/>
            <wp:effectExtent l="0" t="0" r="190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96000"/>
                    </a:blip>
                    <a:stretch>
                      <a:fillRect/>
                    </a:stretch>
                  </pic:blipFill>
                  <pic:spPr>
                    <a:xfrm>
                      <a:off x="0" y="0"/>
                      <a:ext cx="626745" cy="274320"/>
                    </a:xfrm>
                    <a:prstGeom prst="rect">
                      <a:avLst/>
                    </a:prstGeom>
                    <a:noFill/>
                    <a:ln>
                      <a:noFill/>
                    </a:ln>
                  </pic:spPr>
                </pic:pic>
              </a:graphicData>
            </a:graphic>
          </wp:anchor>
        </w:drawing>
      </w:r>
      <w:r>
        <w:rPr>
          <w:rFonts w:hint="eastAsia"/>
          <w:b/>
          <w:color w:val="auto"/>
          <w:sz w:val="22"/>
          <w:szCs w:val="22"/>
        </w:rPr>
        <w:t>备注：</w:t>
      </w:r>
    </w:p>
    <w:p>
      <w:pPr>
        <w:pStyle w:val="2"/>
        <w:spacing w:line="240" w:lineRule="auto"/>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p>
    <w:p>
      <w:pPr>
        <w:pStyle w:val="2"/>
        <w:spacing w:line="240" w:lineRule="auto"/>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2020年8月1日                           </w:t>
      </w:r>
      <w:r>
        <w:rPr>
          <w:rFonts w:hint="eastAsia"/>
          <w:b/>
          <w:color w:val="auto"/>
          <w:sz w:val="22"/>
          <w:szCs w:val="22"/>
        </w:rPr>
        <w:t>日期：</w:t>
      </w:r>
      <w:r>
        <w:rPr>
          <w:rFonts w:hint="eastAsia"/>
          <w:b/>
          <w:color w:val="auto"/>
          <w:sz w:val="22"/>
          <w:szCs w:val="22"/>
          <w:lang w:val="en-US" w:eastAsia="zh-CN"/>
        </w:rPr>
        <w:t xml:space="preserve">2020年8月1日   </w:t>
      </w:r>
    </w:p>
    <w:p>
      <w:pPr>
        <w:pStyle w:val="2"/>
        <w:spacing w:line="240" w:lineRule="auto"/>
        <w:ind w:firstLine="0"/>
        <w:rPr>
          <w:b/>
          <w:color w:val="auto"/>
          <w:sz w:val="18"/>
          <w:szCs w:val="18"/>
        </w:rPr>
      </w:pPr>
      <w:r>
        <w:rPr>
          <w:b/>
          <w:color w:val="auto"/>
          <w:sz w:val="18"/>
          <w:szCs w:val="18"/>
        </w:rPr>
        <w:t>注：</w:t>
      </w:r>
    </w:p>
    <w:p>
      <w:pPr>
        <w:pStyle w:val="2"/>
        <w:spacing w:line="240" w:lineRule="auto"/>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spacing w:line="0" w:lineRule="atLeast"/>
        <w:ind w:firstLine="361" w:firstLineChars="200"/>
        <w:rPr>
          <w:b/>
          <w:color w:val="auto"/>
          <w:sz w:val="18"/>
          <w:szCs w:val="18"/>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Su">
    <w:altName w:val="宋体"/>
    <w:panose1 w:val="02010509060101010101"/>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4"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RlsPWAAAA&#10;CAEAAA8AAAAAAAAAAQAgAAAAIgAAAGRycy9kb3ducmV2LnhtbFBLAQIUABQAAAAIAIdO4kD/r8i4&#10;rQEAADcDAAAOAAAAAAAAAAEAIAAAACUBAABkcnMvZTJvRG9jLnhtbFBLBQYAAAAABgAGAFkBAABE&#10;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5"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U4b1jUAAAABwEAAA8AAAAA&#10;AAAAAQAgAAAAIgAAAGRycy9kb3ducmV2LnhtbFBLAQIUABQAAAAIAIdO4kCmgwjR3wEAAKMDAAAO&#10;AAAAAAAAAAEAIAAAACMBAABkcnMvZTJvRG9jLnhtbFBLBQYAAAAABgAGAFkBAAB0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6B"/>
    <w:rsid w:val="000E69EA"/>
    <w:rsid w:val="003B4B6B"/>
    <w:rsid w:val="006E461C"/>
    <w:rsid w:val="009F2ECD"/>
    <w:rsid w:val="009F4B32"/>
    <w:rsid w:val="00D95F3D"/>
    <w:rsid w:val="00F3644C"/>
    <w:rsid w:val="01914346"/>
    <w:rsid w:val="08E73690"/>
    <w:rsid w:val="11A23DD2"/>
    <w:rsid w:val="132B4A32"/>
    <w:rsid w:val="13F84961"/>
    <w:rsid w:val="1DA936C5"/>
    <w:rsid w:val="1E94607D"/>
    <w:rsid w:val="1EE93CD4"/>
    <w:rsid w:val="228916BA"/>
    <w:rsid w:val="41FA2927"/>
    <w:rsid w:val="6040304E"/>
    <w:rsid w:val="613651B9"/>
    <w:rsid w:val="74DF7646"/>
    <w:rsid w:val="78D06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274</Words>
  <Characters>1563</Characters>
  <Lines>13</Lines>
  <Paragraphs>3</Paragraphs>
  <TotalTime>1</TotalTime>
  <ScaleCrop>false</ScaleCrop>
  <LinksUpToDate>false</LinksUpToDate>
  <CharactersWithSpaces>1834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2020-07-29T04:07:00Z</dcterms:created>
  <dc:creator>微软用户</dc:creator>
  <cp:lastModifiedBy>Joyce</cp:lastModifiedBy>
  <cp:lastPrinted>2020-07-31T07:21:42Z</cp:lastPrinted>
  <dcterms:modified xsi:type="dcterms:W3CDTF">2020-07-31T07:22:14Z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