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 xml:space="preserve">受审核部门：物资管理部/工程管理部 </w:t>
            </w:r>
            <w:r>
              <w:rPr>
                <w:sz w:val="24"/>
                <w:szCs w:val="24"/>
              </w:rPr>
              <w:t xml:space="preserve">  </w:t>
            </w:r>
            <w:r>
              <w:rPr>
                <w:rFonts w:hint="eastAsia"/>
                <w:sz w:val="24"/>
                <w:szCs w:val="24"/>
              </w:rPr>
              <w:t xml:space="preserve">主管领导： </w:t>
            </w:r>
            <w:r>
              <w:rPr>
                <w:rFonts w:hint="eastAsia" w:hAnsi="宋体" w:cs="宋体"/>
                <w:color w:val="000000"/>
                <w:sz w:val="24"/>
                <w:szCs w:val="24"/>
              </w:rPr>
              <w:t>焦双龙</w:t>
            </w:r>
            <w:r>
              <w:rPr>
                <w:rFonts w:hint="eastAsia" w:hAnsi="宋体" w:cs="宋体"/>
                <w:color w:val="000000"/>
                <w:sz w:val="24"/>
                <w:szCs w:val="24"/>
                <w:lang w:val="en-US" w:eastAsia="zh-CN"/>
              </w:rPr>
              <w:t>/沈太保</w:t>
            </w:r>
            <w:r>
              <w:rPr>
                <w:sz w:val="24"/>
                <w:szCs w:val="24"/>
              </w:rPr>
              <w:t xml:space="preserve">  </w:t>
            </w:r>
            <w:r>
              <w:rPr>
                <w:rFonts w:hint="eastAsia"/>
                <w:sz w:val="24"/>
                <w:szCs w:val="24"/>
              </w:rPr>
              <w:t>陪同人员：</w:t>
            </w:r>
            <w:r>
              <w:rPr>
                <w:rFonts w:hint="eastAsia"/>
                <w:sz w:val="24"/>
                <w:szCs w:val="24"/>
                <w:lang w:val="en-US" w:eastAsia="zh-CN"/>
              </w:rPr>
              <w:t>李亚男</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sz w:val="24"/>
                <w:szCs w:val="24"/>
              </w:rPr>
            </w:pPr>
            <w:r>
              <w:rPr>
                <w:rFonts w:hint="eastAsia"/>
                <w:sz w:val="24"/>
                <w:szCs w:val="24"/>
              </w:rPr>
              <w:t>审核员：林兵、任泽华、王央央 高粲淼 审核时间：2</w:t>
            </w:r>
            <w:r>
              <w:rPr>
                <w:sz w:val="24"/>
                <w:szCs w:val="24"/>
              </w:rPr>
              <w:t>020.7.30</w:t>
            </w:r>
            <w:r>
              <w:rPr>
                <w:rFonts w:hint="eastAsia"/>
                <w:sz w:val="24"/>
                <w:szCs w:val="24"/>
              </w:rPr>
              <w:t>-</w:t>
            </w:r>
            <w:r>
              <w:rPr>
                <w:sz w:val="24"/>
                <w:szCs w:val="24"/>
              </w:rPr>
              <w:t>8.1</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ind w:firstLine="420" w:firstLineChars="200"/>
              <w:rPr>
                <w:rFonts w:ascii="宋体" w:hAnsi="宋体" w:cs="宋体"/>
                <w:szCs w:val="21"/>
              </w:rPr>
            </w:pPr>
            <w:r>
              <w:rPr>
                <w:rFonts w:ascii="宋体" w:hAnsi="宋体" w:cs="宋体"/>
                <w:szCs w:val="21"/>
              </w:rPr>
              <w:t>QEO:5.3/6.2/7.4</w:t>
            </w:r>
          </w:p>
          <w:p>
            <w:pPr>
              <w:spacing w:line="360" w:lineRule="auto"/>
              <w:ind w:firstLine="420" w:firstLineChars="200"/>
              <w:rPr>
                <w:rFonts w:ascii="宋体" w:hAnsi="宋体" w:cs="宋体"/>
                <w:szCs w:val="21"/>
              </w:rPr>
            </w:pPr>
            <w:r>
              <w:rPr>
                <w:rFonts w:ascii="宋体" w:hAnsi="宋体" w:cs="宋体"/>
                <w:szCs w:val="21"/>
              </w:rPr>
              <w:t>Q:7.1.3/7.1.4/8.1/8.4/8.5.1/8.5.2/8.5.3/8.5.4/8.5.5/8.6/8.7</w:t>
            </w:r>
          </w:p>
          <w:p>
            <w:pPr>
              <w:spacing w:line="360" w:lineRule="auto"/>
              <w:ind w:firstLine="420" w:firstLineChars="200"/>
              <w:rPr>
                <w:rFonts w:ascii="宋体" w:hAnsi="宋体" w:cs="宋体"/>
                <w:szCs w:val="21"/>
              </w:rPr>
            </w:pPr>
            <w:r>
              <w:rPr>
                <w:rFonts w:ascii="宋体" w:hAnsi="宋体" w:cs="宋体"/>
                <w:szCs w:val="21"/>
              </w:rPr>
              <w:t>EO: 6.1.2/6.1.4/8.1/8.2/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物资管理部/工程管理部按照公司领导要求，做好公司职能和岗位的具体确定，对从事与铝合金模板租赁相关的管理、执行和验证人员规定其职责、权限及其相互关系，主要做好供方管理及铝模租赁过程管理，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rPr>
              <w:t>物资管理部/工程管理部本部门人员较为简单，在手册中确定了物资管理部/工程管理部部门的的职能，人员职责、权限和相互关系。</w:t>
            </w:r>
          </w:p>
          <w:p>
            <w:pPr>
              <w:spacing w:line="360" w:lineRule="auto"/>
              <w:ind w:firstLine="420" w:firstLineChars="200"/>
              <w:rPr>
                <w:rFonts w:ascii="宋体" w:hAnsi="宋体" w:cs="宋体"/>
                <w:szCs w:val="21"/>
              </w:rPr>
            </w:pPr>
            <w:r>
              <w:rPr>
                <w:rFonts w:hint="eastAsia" w:ascii="宋体" w:hAnsi="宋体" w:cs="宋体"/>
                <w:szCs w:val="21"/>
              </w:rPr>
              <w:t>询问物资管理部/工程管理部人员，基本清楚本部门职责。</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360" w:lineRule="auto"/>
              <w:rPr>
                <w:rFonts w:ascii="宋体" w:hAnsi="宋体" w:cs="宋体"/>
                <w:szCs w:val="21"/>
              </w:rPr>
            </w:pPr>
            <w:r>
              <w:rPr>
                <w:rFonts w:hint="eastAsia" w:ascii="宋体" w:hAnsi="宋体" w:cs="宋体"/>
                <w:szCs w:val="21"/>
              </w:rPr>
              <w:t>环境因素识别、危险源识别</w:t>
            </w:r>
          </w:p>
          <w:p>
            <w:pPr>
              <w:spacing w:line="360" w:lineRule="auto"/>
              <w:rPr>
                <w:rFonts w:hint="eastAsia" w:ascii="宋体" w:hAnsi="宋体" w:cs="宋体"/>
                <w:szCs w:val="21"/>
              </w:rPr>
            </w:pPr>
            <w:r>
              <w:rPr>
                <w:rFonts w:hint="eastAsia" w:ascii="宋体" w:hAnsi="宋体" w:cs="宋体"/>
                <w:szCs w:val="21"/>
              </w:rPr>
              <w:t>应对措施</w:t>
            </w:r>
          </w:p>
        </w:tc>
        <w:tc>
          <w:tcPr>
            <w:tcW w:w="998"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360" w:lineRule="auto"/>
              <w:rPr>
                <w:rFonts w:ascii="宋体" w:hAnsi="宋体" w:cs="宋体"/>
                <w:szCs w:val="21"/>
              </w:rPr>
            </w:pPr>
            <w:r>
              <w:rPr>
                <w:szCs w:val="21"/>
              </w:rPr>
              <w:t>O</w:t>
            </w:r>
            <w:r>
              <w:rPr>
                <w:rFonts w:ascii="宋体" w:hAnsi="宋体" w:cs="宋体"/>
                <w:szCs w:val="21"/>
              </w:rPr>
              <w:t>6.1.2</w:t>
            </w:r>
          </w:p>
          <w:p>
            <w:pPr>
              <w:spacing w:line="360" w:lineRule="auto"/>
              <w:rPr>
                <w:rFonts w:ascii="宋体" w:hAnsi="宋体" w:cs="宋体"/>
                <w:szCs w:val="21"/>
              </w:rPr>
            </w:pPr>
            <w:r>
              <w:rPr>
                <w:rFonts w:hint="eastAsia" w:ascii="宋体" w:hAnsi="宋体" w:cs="宋体"/>
                <w:szCs w:val="21"/>
              </w:rPr>
              <w:t>E</w:t>
            </w:r>
            <w:r>
              <w:rPr>
                <w:rFonts w:ascii="宋体" w:hAnsi="宋体" w:cs="宋体"/>
                <w:szCs w:val="21"/>
              </w:rPr>
              <w:t>6.1.4</w:t>
            </w:r>
          </w:p>
          <w:p>
            <w:pPr>
              <w:spacing w:line="360" w:lineRule="auto"/>
              <w:rPr>
                <w:rFonts w:ascii="宋体" w:hAnsi="宋体" w:cs="宋体"/>
                <w:szCs w:val="21"/>
              </w:rPr>
            </w:pPr>
            <w:r>
              <w:rPr>
                <w:rFonts w:hint="eastAsia" w:ascii="宋体" w:hAnsi="宋体" w:cs="宋体"/>
                <w:szCs w:val="21"/>
              </w:rPr>
              <w:t>O</w:t>
            </w:r>
            <w:r>
              <w:rPr>
                <w:rFonts w:ascii="宋体" w:hAnsi="宋体" w:cs="宋体"/>
                <w:szCs w:val="21"/>
              </w:rPr>
              <w:t>6.1.4</w:t>
            </w:r>
          </w:p>
        </w:tc>
        <w:tc>
          <w:tcPr>
            <w:tcW w:w="10004" w:type="dxa"/>
            <w:vAlign w:val="center"/>
          </w:tcPr>
          <w:p>
            <w:pPr>
              <w:spacing w:line="360" w:lineRule="auto"/>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360" w:lineRule="auto"/>
              <w:ind w:firstLine="420" w:firstLineChars="200"/>
              <w:rPr>
                <w:szCs w:val="21"/>
              </w:rPr>
            </w:pPr>
            <w:r>
              <w:rPr>
                <w:rFonts w:hint="eastAsia"/>
                <w:szCs w:val="21"/>
              </w:rPr>
              <w:t>提供了《环境因素识别评价表》，物资管理部/工程管理部所识别的环境因素标明时态、状态和对环境的影响；经查阅识别出对在办公活动中产生的纸张、电等消耗、生活废水排放、废硒鼓的废弃等环境因素及考虑到环境管理体系发生变更时可能产生的环境因素。编制：</w:t>
            </w:r>
            <w:r>
              <w:rPr>
                <w:rFonts w:hint="eastAsia"/>
                <w:szCs w:val="21"/>
                <w:lang w:val="en-US" w:eastAsia="zh-CN"/>
              </w:rPr>
              <w:t>李亚男</w:t>
            </w:r>
            <w:r>
              <w:rPr>
                <w:rFonts w:hint="eastAsia"/>
                <w:szCs w:val="21"/>
              </w:rPr>
              <w:t xml:space="preserve">    批准：</w:t>
            </w:r>
            <w:r>
              <w:rPr>
                <w:rFonts w:hint="eastAsia"/>
                <w:szCs w:val="21"/>
                <w:lang w:val="en-US" w:eastAsia="zh-CN"/>
              </w:rPr>
              <w:t>郭华厅</w:t>
            </w:r>
            <w:r>
              <w:rPr>
                <w:rFonts w:hint="eastAsia"/>
                <w:szCs w:val="21"/>
              </w:rPr>
              <w:t xml:space="preserve">  日期：2020.</w:t>
            </w:r>
            <w:r>
              <w:rPr>
                <w:rFonts w:hint="eastAsia"/>
                <w:szCs w:val="21"/>
                <w:lang w:val="en-US" w:eastAsia="zh-CN"/>
              </w:rPr>
              <w:t>3</w:t>
            </w:r>
            <w:r>
              <w:rPr>
                <w:rFonts w:hint="eastAsia"/>
                <w:szCs w:val="21"/>
              </w:rPr>
              <w:t>.2</w:t>
            </w:r>
          </w:p>
          <w:p>
            <w:pPr>
              <w:spacing w:line="360" w:lineRule="auto"/>
              <w:ind w:firstLine="420" w:firstLineChars="200"/>
              <w:rPr>
                <w:szCs w:val="21"/>
              </w:rPr>
            </w:pPr>
            <w:r>
              <w:rPr>
                <w:rFonts w:hint="eastAsia"/>
                <w:szCs w:val="21"/>
              </w:rPr>
              <w:t>重要环境因素采用打分法和是非判断法，由物资管理部/工程管理部统计综合评分方法确定重要环境因素，提供了“重要环境因素清单”：本部门的重要环境因素：主要危废（墨盒、废粉、硒鼓、灯管）产生、火灾发生等两项；提供了针对重要环境因素，编制环境目标、指标及管理方案，内容包括：目标、指标、主要措施、责任部门、经费、时间要求等。编制：</w:t>
            </w:r>
            <w:r>
              <w:rPr>
                <w:rFonts w:hint="eastAsia"/>
                <w:szCs w:val="21"/>
                <w:lang w:val="en-US" w:eastAsia="zh-CN"/>
              </w:rPr>
              <w:t>李亚男</w:t>
            </w:r>
            <w:r>
              <w:rPr>
                <w:rFonts w:hint="eastAsia"/>
                <w:szCs w:val="21"/>
              </w:rPr>
              <w:t xml:space="preserve">    批准：</w:t>
            </w:r>
            <w:r>
              <w:rPr>
                <w:rFonts w:hint="eastAsia"/>
                <w:szCs w:val="21"/>
                <w:lang w:val="en-US" w:eastAsia="zh-CN"/>
              </w:rPr>
              <w:t>郭华厅</w:t>
            </w:r>
            <w:r>
              <w:rPr>
                <w:rFonts w:hint="eastAsia"/>
                <w:szCs w:val="21"/>
              </w:rPr>
              <w:t xml:space="preserve">  日期：2020.</w:t>
            </w:r>
            <w:r>
              <w:rPr>
                <w:rFonts w:hint="eastAsia"/>
                <w:szCs w:val="21"/>
                <w:lang w:val="en-US" w:eastAsia="zh-CN"/>
              </w:rPr>
              <w:t>3</w:t>
            </w:r>
            <w:r>
              <w:rPr>
                <w:rFonts w:hint="eastAsia"/>
                <w:szCs w:val="21"/>
              </w:rPr>
              <w:t>.2</w:t>
            </w:r>
          </w:p>
          <w:p>
            <w:pPr>
              <w:spacing w:line="360" w:lineRule="auto"/>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szCs w:val="21"/>
              </w:rPr>
            </w:pPr>
            <w:r>
              <w:rPr>
                <w:rFonts w:hint="eastAsia"/>
                <w:szCs w:val="21"/>
              </w:rPr>
              <w:t>提供了《危险源风险调查评价表》，对物资管理部/工程管理部活动场所产生的危险源辨识并进行风险评价，以确定控制措施，经查阅已辨识出物资管理部/工程管理部在行政办公过程中存在电线老化乱拉乱接、办公区域设备无接地与漏电保护、出差途中发生交通事故等情况产生的火灾、触电、伤亡意外等危险因素。编制：</w:t>
            </w:r>
            <w:r>
              <w:rPr>
                <w:rFonts w:hint="eastAsia"/>
                <w:szCs w:val="21"/>
                <w:lang w:val="en-US" w:eastAsia="zh-CN"/>
              </w:rPr>
              <w:t>李亚男</w:t>
            </w:r>
            <w:r>
              <w:rPr>
                <w:rFonts w:hint="eastAsia"/>
                <w:szCs w:val="21"/>
              </w:rPr>
              <w:t xml:space="preserve">    批准：</w:t>
            </w:r>
            <w:r>
              <w:rPr>
                <w:rFonts w:hint="eastAsia"/>
                <w:szCs w:val="21"/>
                <w:lang w:val="en-US" w:eastAsia="zh-CN"/>
              </w:rPr>
              <w:t>郭华厅</w:t>
            </w:r>
            <w:r>
              <w:rPr>
                <w:rFonts w:hint="eastAsia"/>
                <w:szCs w:val="21"/>
              </w:rPr>
              <w:t xml:space="preserve">  日期：2020.</w:t>
            </w:r>
            <w:r>
              <w:rPr>
                <w:rFonts w:hint="eastAsia"/>
                <w:szCs w:val="21"/>
                <w:lang w:val="en-US" w:eastAsia="zh-CN"/>
              </w:rPr>
              <w:t>3</w:t>
            </w:r>
            <w:r>
              <w:rPr>
                <w:rFonts w:hint="eastAsia"/>
                <w:szCs w:val="21"/>
              </w:rPr>
              <w:t>.2</w:t>
            </w:r>
          </w:p>
          <w:p>
            <w:pPr>
              <w:spacing w:line="360" w:lineRule="auto"/>
              <w:ind w:firstLine="420" w:firstLineChars="200"/>
              <w:rPr>
                <w:b/>
                <w:szCs w:val="21"/>
              </w:rPr>
            </w:pPr>
            <w:r>
              <w:rPr>
                <w:rFonts w:hint="eastAsia"/>
                <w:szCs w:val="21"/>
              </w:rPr>
              <w:t>由各部门有管理经验的人员共同讨论、采用经验法确定不可接受风险。提供了《不可接受风险清单》涉及本部门的不可接受风险有：火灾、触电等危害健康安全等；针对不可接受风险编制了职业健康安全目标、指标及管理方案，内容包括：目标、指标、主要措施、责任部门、经费、时间要求等。编制：</w:t>
            </w:r>
            <w:r>
              <w:rPr>
                <w:rFonts w:hint="eastAsia"/>
                <w:szCs w:val="21"/>
                <w:lang w:val="en-US" w:eastAsia="zh-CN"/>
              </w:rPr>
              <w:t>李亚男</w:t>
            </w:r>
            <w:r>
              <w:rPr>
                <w:rFonts w:hint="eastAsia"/>
                <w:szCs w:val="21"/>
              </w:rPr>
              <w:t xml:space="preserve">    批准：</w:t>
            </w:r>
            <w:r>
              <w:rPr>
                <w:rFonts w:hint="eastAsia"/>
                <w:szCs w:val="21"/>
                <w:lang w:val="en-US" w:eastAsia="zh-CN"/>
              </w:rPr>
              <w:t>郭华厅</w:t>
            </w:r>
            <w:r>
              <w:rPr>
                <w:rFonts w:hint="eastAsia"/>
                <w:szCs w:val="21"/>
              </w:rPr>
              <w:t xml:space="preserve">  日期：2020.</w:t>
            </w:r>
            <w:r>
              <w:rPr>
                <w:rFonts w:hint="eastAsia"/>
                <w:szCs w:val="21"/>
                <w:lang w:val="en-US" w:eastAsia="zh-CN"/>
              </w:rPr>
              <w:t>3</w:t>
            </w:r>
            <w:r>
              <w:rPr>
                <w:rFonts w:hint="eastAsia"/>
                <w:szCs w:val="21"/>
              </w:rPr>
              <w:t>.2</w:t>
            </w:r>
          </w:p>
        </w:tc>
        <w:tc>
          <w:tcPr>
            <w:tcW w:w="1585" w:type="dxa"/>
          </w:tcPr>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360" w:lineRule="auto"/>
              <w:rPr>
                <w:rFonts w:ascii="宋体" w:hAnsi="宋体" w:cs="宋体"/>
                <w:szCs w:val="21"/>
              </w:rPr>
            </w:pPr>
            <w:r>
              <w:rPr>
                <w:rFonts w:hint="eastAsia" w:ascii="宋体" w:hAnsi="宋体" w:cs="宋体"/>
                <w:szCs w:val="21"/>
              </w:rPr>
              <w:t>环境和职业健康安全的合规义务</w:t>
            </w:r>
          </w:p>
          <w:p>
            <w:pPr>
              <w:spacing w:line="360" w:lineRule="auto"/>
              <w:rPr>
                <w:rFonts w:ascii="宋体" w:hAnsi="宋体" w:cs="宋体"/>
                <w:szCs w:val="21"/>
              </w:rPr>
            </w:pPr>
            <w:r>
              <w:rPr>
                <w:rFonts w:hint="eastAsia" w:ascii="宋体" w:hAnsi="宋体" w:cs="宋体"/>
                <w:szCs w:val="21"/>
              </w:rPr>
              <w:t>合规性评价</w:t>
            </w:r>
          </w:p>
        </w:tc>
        <w:tc>
          <w:tcPr>
            <w:tcW w:w="998" w:type="dxa"/>
          </w:tcPr>
          <w:p>
            <w:pPr>
              <w:spacing w:line="360" w:lineRule="auto"/>
              <w:rPr>
                <w:rFonts w:ascii="宋体" w:hAnsi="宋体" w:cs="宋体"/>
                <w:szCs w:val="21"/>
              </w:rPr>
            </w:pPr>
            <w:r>
              <w:rPr>
                <w:rFonts w:ascii="宋体" w:hAnsi="宋体" w:cs="宋体"/>
                <w:szCs w:val="21"/>
              </w:rPr>
              <w:t>EO6.1.3</w:t>
            </w:r>
          </w:p>
          <w:p>
            <w:pPr>
              <w:spacing w:line="360" w:lineRule="auto"/>
              <w:rPr>
                <w:rFonts w:ascii="宋体" w:hAnsi="宋体" w:cs="宋体"/>
                <w:szCs w:val="21"/>
              </w:rPr>
            </w:pPr>
            <w:r>
              <w:rPr>
                <w:szCs w:val="21"/>
              </w:rPr>
              <w:t>E0</w:t>
            </w:r>
            <w:r>
              <w:rPr>
                <w:rFonts w:ascii="宋体" w:hAnsi="宋体" w:cs="宋体"/>
                <w:szCs w:val="21"/>
              </w:rPr>
              <w:t>9.1.2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物资管理部/工程管理部按照公司统一安排，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及公司桁架机器人和关节机器人组装所涉及的相关环境和职业健康安全活动。明确了对应的公司活动，对适用性、合规性等进行了评价，如职业病防治法（2</w:t>
            </w:r>
            <w:r>
              <w:rPr>
                <w:rFonts w:ascii="宋体" w:hAnsi="宋体" w:cs="宋体"/>
                <w:szCs w:val="21"/>
              </w:rPr>
              <w:t>017.11.4</w:t>
            </w:r>
            <w:r>
              <w:rPr>
                <w:rFonts w:hint="eastAsia" w:ascii="宋体" w:hAnsi="宋体" w:cs="宋体"/>
                <w:szCs w:val="21"/>
              </w:rPr>
              <w:t>修订）适用条款为第2-</w:t>
            </w:r>
            <w:r>
              <w:rPr>
                <w:rFonts w:ascii="宋体" w:hAnsi="宋体" w:cs="宋体"/>
                <w:szCs w:val="21"/>
              </w:rPr>
              <w:t>7</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ascii="宋体" w:hAnsi="宋体" w:cs="宋体"/>
                <w:szCs w:val="21"/>
              </w:rPr>
              <w:t>43</w:t>
            </w:r>
            <w:r>
              <w:rPr>
                <w:rFonts w:hint="eastAsia" w:ascii="宋体" w:hAnsi="宋体" w:cs="宋体"/>
                <w:szCs w:val="21"/>
              </w:rPr>
              <w:t>、4</w:t>
            </w:r>
            <w:r>
              <w:rPr>
                <w:rFonts w:ascii="宋体" w:hAnsi="宋体" w:cs="宋体"/>
                <w:szCs w:val="21"/>
              </w:rPr>
              <w:t>8</w:t>
            </w:r>
            <w:r>
              <w:rPr>
                <w:rFonts w:hint="eastAsia" w:ascii="宋体" w:hAnsi="宋体" w:cs="宋体"/>
                <w:szCs w:val="21"/>
              </w:rPr>
              <w:t>-</w:t>
            </w:r>
            <w:r>
              <w:rPr>
                <w:rFonts w:ascii="宋体" w:hAnsi="宋体" w:cs="宋体"/>
                <w:szCs w:val="21"/>
              </w:rPr>
              <w:t>546</w:t>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71</w:t>
            </w:r>
            <w:r>
              <w:rPr>
                <w:rFonts w:hint="eastAsia" w:ascii="宋体" w:hAnsi="宋体" w:cs="宋体"/>
                <w:szCs w:val="21"/>
              </w:rPr>
              <w:t>等条款，明确了适用的公司活动为职业病事前预防、宣传教育、防范要求等过程，评价结果为符合要求。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w:t>
            </w:r>
            <w:r>
              <w:rPr>
                <w:szCs w:val="21"/>
              </w:rPr>
              <w:t>O</w:t>
            </w:r>
            <w:r>
              <w:rPr>
                <w:rFonts w:hint="eastAsia"/>
                <w:szCs w:val="21"/>
              </w:rPr>
              <w:t>6.2.1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rPr>
                <w:rFonts w:ascii="宋体" w:hAnsi="宋体" w:cs="宋体"/>
                <w:szCs w:val="21"/>
              </w:rPr>
            </w:pPr>
            <w:r>
              <w:rPr>
                <w:rFonts w:hint="eastAsia" w:ascii="宋体" w:hAnsi="宋体" w:cs="宋体"/>
                <w:szCs w:val="21"/>
              </w:rPr>
              <w:t>物资管理部/工程管理部涉及的目标及实现情况是：</w:t>
            </w:r>
          </w:p>
          <w:p>
            <w:pPr>
              <w:spacing w:line="360" w:lineRule="auto"/>
              <w:ind w:firstLine="1050" w:firstLineChars="500"/>
              <w:rPr>
                <w:rFonts w:ascii="宋体" w:hAnsi="宋体" w:cs="宋体"/>
                <w:szCs w:val="21"/>
              </w:rPr>
            </w:pPr>
            <w:r>
              <w:rPr>
                <w:rFonts w:hint="eastAsia" w:ascii="宋体" w:hAnsi="宋体" w:cs="宋体"/>
                <w:szCs w:val="21"/>
              </w:rPr>
              <w:t xml:space="preserve">目标 </w:t>
            </w:r>
            <w:r>
              <w:rPr>
                <w:rFonts w:ascii="宋体" w:hAnsi="宋体" w:cs="宋体"/>
                <w:szCs w:val="21"/>
              </w:rPr>
              <w:t xml:space="preserve">                                 </w:t>
            </w:r>
            <w:r>
              <w:rPr>
                <w:rFonts w:hint="eastAsia" w:ascii="宋体" w:hAnsi="宋体" w:cs="宋体"/>
                <w:szCs w:val="21"/>
              </w:rPr>
              <w:t>完成情况</w: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文件发放前审批率1</w:t>
            </w:r>
            <w:r>
              <w:rPr>
                <w:rFonts w:ascii="宋体" w:hAnsi="宋体" w:cs="宋体"/>
                <w:szCs w:val="21"/>
              </w:rPr>
              <w:t>00</w:t>
            </w:r>
            <w:r>
              <w:rPr>
                <w:rFonts w:hint="eastAsia" w:ascii="宋体" w:hAnsi="宋体" w:cs="宋体"/>
                <w:szCs w:val="21"/>
              </w:rPr>
              <w:t>%</w:t>
            </w:r>
            <w:r>
              <w:rPr>
                <w:rFonts w:ascii="宋体" w:hAnsi="宋体" w:cs="宋体"/>
                <w:szCs w:val="21"/>
              </w:rPr>
              <w:t xml:space="preserve">                             100</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培训计划实施率1</w:t>
            </w:r>
            <w:r>
              <w:rPr>
                <w:rFonts w:ascii="宋体" w:hAnsi="宋体" w:cs="宋体"/>
                <w:szCs w:val="21"/>
              </w:rPr>
              <w:t>00</w:t>
            </w:r>
            <w:r>
              <w:rPr>
                <w:rFonts w:hint="eastAsia" w:ascii="宋体" w:hAnsi="宋体" w:cs="宋体"/>
                <w:szCs w:val="21"/>
              </w:rPr>
              <w:t>%</w:t>
            </w:r>
            <w:r>
              <w:rPr>
                <w:rFonts w:ascii="宋体" w:hAnsi="宋体" w:cs="宋体"/>
                <w:szCs w:val="21"/>
              </w:rPr>
              <w:t xml:space="preserve">                               100</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废弃物回收率达到100%，统一处理 </w:t>
            </w:r>
            <w:r>
              <w:rPr>
                <w:rFonts w:ascii="宋体" w:hAnsi="宋体" w:cs="宋体"/>
                <w:szCs w:val="21"/>
              </w:rPr>
              <w:t xml:space="preserve">                  100</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每年定期对消防器材进行验收，更换过期的消防器材。 </w:t>
            </w:r>
            <w:r>
              <w:rPr>
                <w:rFonts w:ascii="宋体" w:hAnsi="宋体" w:cs="宋体"/>
                <w:szCs w:val="21"/>
              </w:rPr>
              <w:t xml:space="preserve"> </w:t>
            </w:r>
            <w:r>
              <w:rPr>
                <w:rFonts w:hint="eastAsia" w:ascii="宋体" w:hAnsi="宋体" w:cs="宋体"/>
                <w:szCs w:val="21"/>
              </w:rPr>
              <w:t>符合</w:t>
            </w:r>
          </w:p>
          <w:p>
            <w:pPr>
              <w:spacing w:line="360" w:lineRule="auto"/>
              <w:ind w:firstLine="420" w:firstLineChars="200"/>
              <w:rPr>
                <w:rFonts w:ascii="宋体" w:hAnsi="宋体" w:cs="宋体"/>
                <w:szCs w:val="21"/>
              </w:rPr>
            </w:pPr>
            <w:r>
              <w:rPr>
                <w:rFonts w:hint="eastAsia" w:ascii="宋体" w:hAnsi="宋体" w:cs="宋体"/>
                <w:szCs w:val="21"/>
              </w:rPr>
              <w:t xml:space="preserve">应急通道畅通，消防设施完好率100%。 </w:t>
            </w:r>
            <w:r>
              <w:rPr>
                <w:rFonts w:ascii="宋体" w:hAnsi="宋体" w:cs="宋体"/>
                <w:szCs w:val="21"/>
              </w:rPr>
              <w:t xml:space="preserve">              100</w:t>
            </w:r>
            <w:r>
              <w:rPr>
                <w:rFonts w:hint="eastAsia" w:ascii="宋体" w:hAnsi="宋体" w:cs="宋体"/>
                <w:szCs w:val="21"/>
              </w:rPr>
              <w:t>%</w:t>
            </w:r>
          </w:p>
          <w:p>
            <w:pPr>
              <w:spacing w:line="360" w:lineRule="auto"/>
              <w:ind w:firstLine="420" w:firstLineChars="200"/>
              <w:rPr>
                <w:color w:val="000000"/>
                <w:szCs w:val="21"/>
              </w:rPr>
            </w:pPr>
            <w:r>
              <w:rPr>
                <w:rFonts w:hint="eastAsia" w:ascii="宋体" w:hAnsi="宋体" w:cs="宋体"/>
                <w:szCs w:val="21"/>
              </w:rPr>
              <w:t>火灾事故为0</w:t>
            </w:r>
            <w:r>
              <w:rPr>
                <w:rFonts w:ascii="宋体" w:hAnsi="宋体" w:cs="宋体"/>
                <w:szCs w:val="21"/>
              </w:rPr>
              <w:t xml:space="preserve">                                      0</w:t>
            </w:r>
          </w:p>
          <w:p>
            <w:pPr>
              <w:spacing w:line="360" w:lineRule="auto"/>
              <w:ind w:firstLine="420" w:firstLineChars="200"/>
              <w:rPr>
                <w:rFonts w:ascii="宋体" w:hAnsi="宋体" w:cs="宋体"/>
                <w:szCs w:val="21"/>
              </w:rPr>
            </w:pPr>
            <w:r>
              <w:rPr>
                <w:rFonts w:hint="eastAsia" w:ascii="宋体" w:hAnsi="宋体" w:cs="宋体"/>
                <w:szCs w:val="21"/>
              </w:rPr>
              <w:t>目标可测量，与公司管理方针一致。有实施落实的方案， 根据4月</w:t>
            </w:r>
            <w:r>
              <w:rPr>
                <w:rFonts w:ascii="宋体" w:hAnsi="宋体" w:cs="宋体"/>
                <w:szCs w:val="21"/>
              </w:rPr>
              <w:t>30</w:t>
            </w:r>
            <w:r>
              <w:rPr>
                <w:rFonts w:hint="eastAsia" w:ascii="宋体" w:hAnsi="宋体" w:cs="宋体"/>
                <w:szCs w:val="21"/>
              </w:rPr>
              <w:t>日统计结果，目标均已完成。</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环境/职业健康安全目标实现措施策划</w:t>
            </w:r>
          </w:p>
        </w:tc>
        <w:tc>
          <w:tcPr>
            <w:tcW w:w="998" w:type="dxa"/>
          </w:tcPr>
          <w:p>
            <w:pPr>
              <w:spacing w:line="360" w:lineRule="auto"/>
              <w:rPr>
                <w:szCs w:val="21"/>
              </w:rPr>
            </w:pPr>
            <w:r>
              <w:rPr>
                <w:rFonts w:hint="eastAsia"/>
                <w:szCs w:val="21"/>
              </w:rPr>
              <w:t>6.2.2</w:t>
            </w:r>
          </w:p>
        </w:tc>
        <w:tc>
          <w:tcPr>
            <w:tcW w:w="10004" w:type="dxa"/>
            <w:vAlign w:val="center"/>
          </w:tcPr>
          <w:p>
            <w:pPr>
              <w:spacing w:line="360" w:lineRule="auto"/>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ascii="宋体" w:hAnsi="宋体" w:cs="宋体"/>
                <w:szCs w:val="21"/>
              </w:rPr>
              <w:t>《环境运行控制程序》、《职业健康安全运行控制程序》、《相关方管理程序》等文件；由物资管理部/工程管理部统一管理。提供了危废控制和火灾预防的管理方案，针对火灾编制了应急预案。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rPr>
                <w:b/>
                <w:szCs w:val="21"/>
              </w:rPr>
            </w:pPr>
            <w:r>
              <w:rPr>
                <w:rFonts w:hint="eastAsia" w:ascii="宋体" w:hAnsi="宋体" w:cs="宋体"/>
                <w:color w:val="000000"/>
                <w:kern w:val="0"/>
                <w:szCs w:val="21"/>
              </w:rPr>
              <w:t xml:space="preserve">   物资管理部/工程管理部根据各部门的需要配备管理体系运行所需的人员，均经过相关培训，有公司任命证书。部门人员配备基本充分，基本符合要求。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M</w:t>
            </w:r>
            <w:r>
              <w:rPr>
                <w:rFonts w:ascii="宋体" w:hAnsi="宋体" w:cs="宋体"/>
                <w:color w:val="000000"/>
                <w:kern w:val="0"/>
                <w:szCs w:val="21"/>
              </w:rPr>
              <w:t>SDS</w:t>
            </w:r>
            <w:r>
              <w:rPr>
                <w:rFonts w:hint="eastAsia" w:ascii="宋体" w:hAnsi="宋体" w:cs="宋体"/>
                <w:color w:val="000000"/>
                <w:kern w:val="0"/>
                <w:szCs w:val="21"/>
              </w:rPr>
              <w:t>、技术规范、合同）、法律法规、市场信息等。</w:t>
            </w:r>
          </w:p>
          <w:p>
            <w:pPr>
              <w:spacing w:line="360" w:lineRule="auto"/>
              <w:ind w:firstLine="420" w:firstLineChars="200"/>
              <w:rPr>
                <w:b/>
                <w:szCs w:val="21"/>
              </w:rPr>
            </w:pPr>
            <w:r>
              <w:rPr>
                <w:rFonts w:hint="eastAsia" w:ascii="宋体" w:hAnsi="宋体" w:cs="宋体"/>
                <w:color w:val="000000"/>
                <w:kern w:val="0"/>
                <w:szCs w:val="21"/>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基础设施</w:t>
            </w:r>
          </w:p>
          <w:p>
            <w:pPr>
              <w:spacing w:line="360" w:lineRule="auto"/>
              <w:rPr>
                <w:rFonts w:ascii="宋体" w:hAnsi="宋体" w:cs="宋体"/>
                <w:color w:val="000000"/>
                <w:kern w:val="0"/>
                <w:szCs w:val="21"/>
              </w:rPr>
            </w:pPr>
            <w:r>
              <w:rPr>
                <w:rFonts w:hint="eastAsia" w:ascii="宋体" w:hAnsi="宋体" w:cs="宋体"/>
                <w:color w:val="000000"/>
                <w:kern w:val="0"/>
                <w:szCs w:val="21"/>
              </w:rPr>
              <w:t>工作环境</w:t>
            </w: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7.1.3</w:t>
            </w:r>
          </w:p>
          <w:p>
            <w:pPr>
              <w:spacing w:line="360" w:lineRule="auto"/>
              <w:rPr>
                <w:rFonts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7.1.4</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公司在手册和程序文件中进行了规定。</w:t>
            </w:r>
          </w:p>
          <w:p>
            <w:pPr>
              <w:spacing w:line="360" w:lineRule="auto"/>
              <w:rPr>
                <w:rFonts w:ascii="宋体" w:hAnsi="宋体" w:cs="宋体"/>
                <w:color w:val="000000"/>
                <w:kern w:val="0"/>
                <w:szCs w:val="21"/>
              </w:rPr>
            </w:pPr>
            <w:r>
              <w:rPr>
                <w:rFonts w:hint="eastAsia" w:ascii="宋体" w:hAnsi="宋体" w:cs="宋体"/>
                <w:color w:val="000000"/>
                <w:kern w:val="0"/>
                <w:szCs w:val="21"/>
              </w:rPr>
              <w:t>公司提供租赁使涉及的铝模板、配件、运输等均由外部供方提供，公司主要提供业务对接、模板设计等工作，以提供技术服务、租赁协议为主。现场以办公需求为主。</w:t>
            </w:r>
          </w:p>
          <w:p>
            <w:pPr>
              <w:spacing w:line="360" w:lineRule="auto"/>
              <w:rPr>
                <w:rFonts w:ascii="宋体" w:hAnsi="宋体" w:cs="宋体"/>
                <w:color w:val="000000"/>
                <w:kern w:val="0"/>
                <w:szCs w:val="21"/>
              </w:rPr>
            </w:pPr>
            <w:r>
              <w:rPr>
                <w:rFonts w:hint="eastAsia" w:ascii="宋体" w:hAnsi="宋体" w:cs="宋体"/>
                <w:color w:val="000000"/>
                <w:kern w:val="0"/>
                <w:szCs w:val="21"/>
              </w:rPr>
              <w:t>公司租赁有铭鑫大厦，现场办公室共设有办公区、会议区等，约有</w:t>
            </w:r>
            <w:r>
              <w:rPr>
                <w:rFonts w:ascii="宋体" w:hAnsi="宋体" w:cs="宋体"/>
                <w:color w:val="000000"/>
                <w:kern w:val="0"/>
                <w:szCs w:val="21"/>
              </w:rPr>
              <w:t>200</w:t>
            </w:r>
            <w:r>
              <w:rPr>
                <w:rFonts w:hint="eastAsia" w:ascii="宋体" w:hAnsi="宋体" w:cs="宋体"/>
                <w:color w:val="000000"/>
                <w:kern w:val="0"/>
                <w:szCs w:val="21"/>
              </w:rPr>
              <w:t>多平方米，物业统一配备有中央空调，办公电脑、档案室等，现场配备有灭火器等。</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提供了为办公电脑等维护、保养以及管理的规定，实际以各使用人员管理为主。</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沟通</w:t>
            </w:r>
          </w:p>
          <w:p>
            <w:pPr>
              <w:spacing w:line="360" w:lineRule="auto"/>
              <w:rPr>
                <w:rFonts w:hint="eastAsia" w:ascii="宋体" w:hAnsi="宋体" w:cs="宋体"/>
                <w:color w:val="000000"/>
                <w:kern w:val="0"/>
                <w:szCs w:val="21"/>
              </w:rPr>
            </w:pPr>
          </w:p>
        </w:tc>
        <w:tc>
          <w:tcPr>
            <w:tcW w:w="998"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360" w:lineRule="auto"/>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360" w:lineRule="auto"/>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综合管理部统一负责。</w:t>
            </w:r>
          </w:p>
          <w:p>
            <w:pPr>
              <w:spacing w:line="360" w:lineRule="auto"/>
              <w:ind w:firstLine="420" w:firstLineChars="200"/>
              <w:rPr>
                <w:szCs w:val="21"/>
              </w:rPr>
            </w:pPr>
            <w:r>
              <w:rPr>
                <w:rFonts w:hint="eastAsia"/>
                <w:szCs w:val="21"/>
              </w:rPr>
              <w:t>现场查阅内部交流：方针、目标完成情况、内审和管理评审报告、不符合信息等。</w:t>
            </w:r>
          </w:p>
          <w:p>
            <w:pPr>
              <w:spacing w:line="360" w:lineRule="auto"/>
              <w:ind w:firstLine="420" w:firstLineChars="200"/>
              <w:rPr>
                <w:szCs w:val="21"/>
              </w:rPr>
            </w:pPr>
            <w:r>
              <w:rPr>
                <w:rFonts w:hint="eastAsia"/>
                <w:szCs w:val="21"/>
              </w:rPr>
              <w:t>外部交流：通过发放《关于对相关方要求的告知书》与相关方就相关环境、职业健康安全信息进行相互沟通。</w:t>
            </w:r>
          </w:p>
          <w:p>
            <w:pPr>
              <w:spacing w:line="360" w:lineRule="auto"/>
              <w:ind w:firstLine="420" w:firstLineChars="200"/>
              <w:rPr>
                <w:szCs w:val="21"/>
              </w:rPr>
            </w:pPr>
            <w:r>
              <w:rPr>
                <w:rFonts w:hint="eastAsia"/>
                <w:szCs w:val="21"/>
              </w:rPr>
              <w:t>和员工陈某某面谈，知道公司的管理者代表及职业健康安全事务代表。</w:t>
            </w:r>
          </w:p>
          <w:p>
            <w:pPr>
              <w:spacing w:line="360" w:lineRule="auto"/>
              <w:rPr>
                <w:rFonts w:hint="eastAsia" w:ascii="宋体" w:hAnsi="宋体" w:cs="宋体"/>
                <w:color w:val="000000"/>
                <w:kern w:val="0"/>
                <w:szCs w:val="21"/>
              </w:rPr>
            </w:pPr>
            <w:r>
              <w:rPr>
                <w:rFonts w:hint="eastAsia"/>
                <w:szCs w:val="21"/>
              </w:rPr>
              <w:t>审核周期内未发生因沟通不善造成的的问题。</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运行策划</w:t>
            </w:r>
          </w:p>
        </w:tc>
        <w:tc>
          <w:tcPr>
            <w:tcW w:w="998" w:type="dxa"/>
          </w:tcPr>
          <w:p>
            <w:pPr>
              <w:spacing w:line="360" w:lineRule="auto"/>
              <w:rPr>
                <w:rFonts w:ascii="宋体" w:hAnsi="宋体" w:cs="宋体"/>
                <w:color w:val="000000"/>
                <w:kern w:val="0"/>
                <w:szCs w:val="21"/>
              </w:rPr>
            </w:pPr>
            <w:r>
              <w:rPr>
                <w:rFonts w:ascii="宋体" w:hAnsi="宋体" w:cs="宋体"/>
                <w:color w:val="000000"/>
                <w:kern w:val="0"/>
                <w:szCs w:val="21"/>
              </w:rPr>
              <w:t>Q</w:t>
            </w:r>
            <w:r>
              <w:rPr>
                <w:rFonts w:hint="eastAsia" w:ascii="宋体" w:hAnsi="宋体" w:cs="宋体"/>
                <w:color w:val="000000"/>
                <w:kern w:val="0"/>
                <w:szCs w:val="21"/>
              </w:rPr>
              <w:t>8</w:t>
            </w:r>
            <w:r>
              <w:rPr>
                <w:rFonts w:ascii="宋体" w:hAnsi="宋体" w:cs="宋体"/>
                <w:color w:val="000000"/>
                <w:kern w:val="0"/>
                <w:szCs w:val="21"/>
              </w:rPr>
              <w:t>.1</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公司提供铝模租赁服务的过程主要：签订合同，设计管理部确认底图深化，下达订单，根据订单安排物资的确认和验收，交付到租赁方，提供售后服务，工程结束后，及时将铝模等回收交还供方。公司自身不负责铝模的生产和维护，主要做好铝模租赁过程的需求信息的收集、设计、订单（组织向铝模生产提供方下达）及跟踪，后续异常问题的处置等。主要依据顾客的要求、中华人民共和国合同法、中华人民共和国公司法、中华人民共和国反不正当竞争法等国家/行业标准实施。</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公司根据租赁服务运行要求，策划了与顾客有关过程管理程序、运行控制管理程序、外部提供产品、服务和过程控制程序、车辆管理规定、相关方管理办法、固体废物管理规定等指导服务按规定进行。</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铝模租赁服务过程中使用的设备：电话、电脑、网络、复印机等，以上设备配置适宜，能确保服务的实现。</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销售过程依据合同约定，确定产品名称、送货地点、时间等信息；专人下单给铝模及配件的供货单位，确认供货单位开出的发货单信息，送达客户单位后，由客户单位验收：产品、数量、质量等信息，由用货单位在验收记录上确认，公司将确认的送货单按月度统计到明细表中，工程结束后，及时协助租赁方将铝模等送还供方，租赁款项结算清，流程结束。</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主要监测设备有：无。</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以上铝模租赁服务实现的策划工作基本符合要求，能确保铝模租赁服务实现和质量目标的实现。</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目前无其他特定铝模租赁服务和合同的策划。</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物流为外包过程，按照采购控制程序执行，组织识别无特殊过程。</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采购</w:t>
            </w:r>
          </w:p>
        </w:tc>
        <w:tc>
          <w:tcPr>
            <w:tcW w:w="998" w:type="dxa"/>
          </w:tcPr>
          <w:p>
            <w:pPr>
              <w:spacing w:line="360" w:lineRule="auto"/>
              <w:rPr>
                <w:rFonts w:hint="eastAsia" w:ascii="宋体" w:hAnsi="宋体" w:cs="宋体"/>
                <w:color w:val="000000"/>
                <w:kern w:val="0"/>
                <w:szCs w:val="21"/>
              </w:rPr>
            </w:pPr>
            <w:r>
              <w:rPr>
                <w:rFonts w:ascii="宋体" w:hAnsi="宋体" w:cs="宋体"/>
                <w:color w:val="000000"/>
                <w:kern w:val="0"/>
                <w:szCs w:val="21"/>
              </w:rPr>
              <w:t>Q</w:t>
            </w:r>
            <w:r>
              <w:rPr>
                <w:rFonts w:hint="eastAsia" w:ascii="宋体" w:hAnsi="宋体" w:cs="宋体"/>
                <w:color w:val="000000"/>
                <w:kern w:val="0"/>
                <w:szCs w:val="21"/>
              </w:rPr>
              <w:t>8</w:t>
            </w:r>
            <w:r>
              <w:rPr>
                <w:rFonts w:ascii="宋体" w:hAnsi="宋体" w:cs="宋体"/>
                <w:color w:val="000000"/>
                <w:kern w:val="0"/>
                <w:szCs w:val="21"/>
              </w:rPr>
              <w:t>.4</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组织编制了《外部提供产品、服务和过程控制程序》对采购过程进行了管理。采购主要为铝模及相关配件（如支撑柱托头、梁面板、楼板内转角、面板、流星锤等）的供方，以及物流配送公司等服务的管理。</w:t>
            </w:r>
          </w:p>
          <w:p>
            <w:pPr>
              <w:spacing w:line="360" w:lineRule="auto"/>
              <w:rPr>
                <w:rFonts w:ascii="宋体" w:hAnsi="宋体" w:cs="宋体"/>
                <w:color w:val="000000"/>
                <w:kern w:val="0"/>
                <w:szCs w:val="21"/>
              </w:rPr>
            </w:pPr>
            <w:r>
              <w:rPr>
                <w:rFonts w:hint="eastAsia" w:ascii="宋体" w:hAnsi="宋体" w:cs="宋体"/>
                <w:color w:val="000000"/>
                <w:kern w:val="0"/>
                <w:szCs w:val="21"/>
              </w:rPr>
              <w:t>提供了合格供方名单，共</w:t>
            </w:r>
            <w:r>
              <w:rPr>
                <w:rFonts w:ascii="宋体" w:hAnsi="宋体" w:cs="宋体"/>
                <w:color w:val="000000"/>
                <w:kern w:val="0"/>
                <w:szCs w:val="21"/>
              </w:rPr>
              <w:t>5</w:t>
            </w:r>
            <w:r>
              <w:rPr>
                <w:rFonts w:hint="eastAsia" w:ascii="宋体" w:hAnsi="宋体" w:cs="宋体"/>
                <w:color w:val="000000"/>
                <w:kern w:val="0"/>
                <w:szCs w:val="21"/>
              </w:rPr>
              <w:t>家，包括了租赁所需的铝模提供方深圳程捷模架科技有限公司、昌宜（深圳）模板租赁有限公司等；物流公司供方包括浙江物流公司等，提供了供方调查评价表、供方营业执照等信息，抽查发现未能提供铝模板供方安徽昌宜建筑科技有限公司的评定证据。——不符合，已开具不符合报告。</w:t>
            </w:r>
          </w:p>
          <w:p>
            <w:pPr>
              <w:spacing w:line="360" w:lineRule="auto"/>
              <w:ind w:firstLine="420" w:firstLineChars="200"/>
              <w:rPr>
                <w:rFonts w:ascii="宋体" w:hAnsi="宋体" w:cs="宋体"/>
                <w:szCs w:val="21"/>
              </w:rPr>
            </w:pPr>
            <w:r>
              <w:rPr>
                <w:rFonts w:hint="eastAsia" w:ascii="宋体" w:hAnsi="宋体" w:cs="宋体"/>
                <w:szCs w:val="21"/>
              </w:rPr>
              <w:t>提供了采购合同规定运输由供方负责到指定时间和地点，由供销部专人负责落实信息传递。</w:t>
            </w:r>
          </w:p>
          <w:p>
            <w:pPr>
              <w:spacing w:line="360" w:lineRule="auto"/>
              <w:ind w:firstLine="420" w:firstLineChars="200"/>
              <w:rPr>
                <w:rFonts w:ascii="宋体" w:hAnsi="宋体" w:cs="宋体"/>
                <w:szCs w:val="21"/>
              </w:rPr>
            </w:pPr>
            <w:r>
              <w:rPr>
                <w:rFonts w:hint="eastAsia" w:ascii="宋体" w:hAnsi="宋体" w:cs="宋体"/>
                <w:szCs w:val="21"/>
              </w:rPr>
              <w:t>公司向供方及相关人员发送采购信息，采购员实施采购。</w:t>
            </w:r>
          </w:p>
          <w:p>
            <w:pPr>
              <w:spacing w:line="360" w:lineRule="auto"/>
              <w:ind w:firstLine="420" w:firstLineChars="200"/>
              <w:rPr>
                <w:rFonts w:ascii="宋体" w:hAnsi="宋体" w:cs="宋体"/>
                <w:szCs w:val="21"/>
              </w:rPr>
            </w:pPr>
            <w:r>
              <w:rPr>
                <w:rFonts w:hint="eastAsia" w:ascii="宋体" w:hAnsi="宋体" w:cs="宋体"/>
                <w:szCs w:val="21"/>
              </w:rPr>
              <w:t>查1、2019-1</w:t>
            </w: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与深圳程捷模架科技有限公司签订的长沙绿地V岛A09、A10地块的合同，合同规定了租赁铝膜板的数量和价格、体系范围、交付期限、交付及返还、赔偿责任、租赁期限、结算和支付等条款，要求明确，审批李志勇。与</w:t>
            </w:r>
            <w:r>
              <w:rPr>
                <w:rFonts w:hint="eastAsia"/>
                <w:szCs w:val="21"/>
              </w:rPr>
              <w:t>201</w:t>
            </w:r>
            <w:r>
              <w:rPr>
                <w:szCs w:val="21"/>
              </w:rPr>
              <w:t>9</w:t>
            </w:r>
            <w:r>
              <w:rPr>
                <w:rFonts w:hint="eastAsia"/>
                <w:szCs w:val="21"/>
              </w:rPr>
              <w:t>-</w:t>
            </w:r>
            <w:r>
              <w:rPr>
                <w:szCs w:val="21"/>
              </w:rPr>
              <w:t>11</w:t>
            </w:r>
            <w:r>
              <w:rPr>
                <w:rFonts w:hint="eastAsia"/>
                <w:szCs w:val="21"/>
              </w:rPr>
              <w:t>-</w:t>
            </w:r>
            <w:r>
              <w:rPr>
                <w:szCs w:val="21"/>
              </w:rPr>
              <w:t>29</w:t>
            </w:r>
            <w:r>
              <w:rPr>
                <w:rFonts w:hint="eastAsia"/>
                <w:szCs w:val="21"/>
              </w:rPr>
              <w:t>与</w:t>
            </w:r>
            <w:bookmarkStart w:id="1" w:name="OLE_LINK1"/>
            <w:r>
              <w:rPr>
                <w:rFonts w:hint="eastAsia"/>
                <w:szCs w:val="21"/>
              </w:rPr>
              <w:t>中建机武汉科技发展有限公司</w:t>
            </w:r>
            <w:bookmarkEnd w:id="1"/>
            <w:r>
              <w:rPr>
                <w:rFonts w:hint="eastAsia"/>
                <w:szCs w:val="21"/>
              </w:rPr>
              <w:t>签订长沙绿地V岛A</w:t>
            </w:r>
            <w:r>
              <w:rPr>
                <w:szCs w:val="21"/>
              </w:rPr>
              <w:t>09</w:t>
            </w:r>
            <w:r>
              <w:rPr>
                <w:rFonts w:hint="eastAsia"/>
                <w:szCs w:val="21"/>
              </w:rPr>
              <w:t>、A</w:t>
            </w:r>
            <w:r>
              <w:rPr>
                <w:szCs w:val="21"/>
              </w:rPr>
              <w:t>10</w:t>
            </w:r>
            <w:r>
              <w:rPr>
                <w:rFonts w:hint="eastAsia"/>
                <w:szCs w:val="21"/>
              </w:rPr>
              <w:t>地块总包合同要求的协议基本一致，另外提供了与浙江物流公司签订的货运协议，有货运对象，时间，价格，结算和支付等内容，基本符合。</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szCs w:val="21"/>
              </w:rPr>
              <w:t>20</w:t>
            </w:r>
            <w:r>
              <w:rPr>
                <w:szCs w:val="21"/>
              </w:rPr>
              <w:t>19</w:t>
            </w:r>
            <w:r>
              <w:rPr>
                <w:rFonts w:hint="eastAsia"/>
                <w:szCs w:val="21"/>
              </w:rPr>
              <w:t>-</w:t>
            </w:r>
            <w:r>
              <w:rPr>
                <w:szCs w:val="21"/>
              </w:rPr>
              <w:t>4</w:t>
            </w:r>
            <w:r>
              <w:rPr>
                <w:rFonts w:hint="eastAsia"/>
                <w:szCs w:val="21"/>
              </w:rPr>
              <w:t>-</w:t>
            </w:r>
            <w:r>
              <w:rPr>
                <w:szCs w:val="21"/>
              </w:rPr>
              <w:t>24</w:t>
            </w:r>
            <w:r>
              <w:rPr>
                <w:rFonts w:hint="eastAsia"/>
                <w:szCs w:val="21"/>
              </w:rPr>
              <w:t>与</w:t>
            </w:r>
            <w:r>
              <w:rPr>
                <w:rFonts w:hint="eastAsia" w:ascii="宋体" w:hAnsi="宋体" w:cs="宋体"/>
                <w:color w:val="000000"/>
                <w:kern w:val="0"/>
                <w:szCs w:val="21"/>
              </w:rPr>
              <w:t>安徽昌宜建筑科技有限公司</w:t>
            </w:r>
            <w:r>
              <w:rPr>
                <w:rFonts w:hint="eastAsia"/>
                <w:szCs w:val="21"/>
              </w:rPr>
              <w:t>签订2</w:t>
            </w:r>
            <w:r>
              <w:rPr>
                <w:szCs w:val="21"/>
              </w:rPr>
              <w:t>022</w:t>
            </w:r>
            <w:r>
              <w:rPr>
                <w:rFonts w:hint="eastAsia"/>
                <w:szCs w:val="21"/>
              </w:rPr>
              <w:t>年第1</w:t>
            </w:r>
            <w:r>
              <w:rPr>
                <w:szCs w:val="21"/>
              </w:rPr>
              <w:t>9</w:t>
            </w:r>
            <w:r>
              <w:rPr>
                <w:rFonts w:hint="eastAsia"/>
                <w:szCs w:val="21"/>
              </w:rPr>
              <w:t>届杭州亚运会媒体村地块项目合同，合同规定了租赁铝膜板的数量和价格、交付及返还、租赁期限、结算和支付等条款，要求明确，审批郭华厅。与20</w:t>
            </w:r>
            <w:r>
              <w:rPr>
                <w:szCs w:val="21"/>
              </w:rPr>
              <w:t>19</w:t>
            </w:r>
            <w:r>
              <w:rPr>
                <w:rFonts w:hint="eastAsia"/>
                <w:szCs w:val="21"/>
              </w:rPr>
              <w:t>-</w:t>
            </w:r>
            <w:r>
              <w:rPr>
                <w:szCs w:val="21"/>
              </w:rPr>
              <w:t>4</w:t>
            </w:r>
            <w:r>
              <w:rPr>
                <w:rFonts w:hint="eastAsia"/>
                <w:szCs w:val="21"/>
              </w:rPr>
              <w:t>-</w:t>
            </w:r>
            <w:r>
              <w:rPr>
                <w:szCs w:val="21"/>
              </w:rPr>
              <w:t>18</w:t>
            </w:r>
            <w:r>
              <w:rPr>
                <w:rFonts w:hint="eastAsia"/>
                <w:szCs w:val="21"/>
              </w:rPr>
              <w:t>浙江省建工集团有限责任公司签订2</w:t>
            </w:r>
            <w:r>
              <w:rPr>
                <w:szCs w:val="21"/>
              </w:rPr>
              <w:t>022</w:t>
            </w:r>
            <w:r>
              <w:rPr>
                <w:rFonts w:hint="eastAsia"/>
                <w:szCs w:val="21"/>
              </w:rPr>
              <w:t>年第1</w:t>
            </w:r>
            <w:r>
              <w:rPr>
                <w:szCs w:val="21"/>
              </w:rPr>
              <w:t>9</w:t>
            </w:r>
            <w:r>
              <w:rPr>
                <w:rFonts w:hint="eastAsia"/>
                <w:szCs w:val="21"/>
              </w:rPr>
              <w:t>届杭州亚运会媒体村地块项目合同，相关要求一致。另外提供了与浙江物流公司签订的货运协议，有货运对象，时间，价格，结算和支付等内容，基本符合。</w:t>
            </w:r>
          </w:p>
          <w:p>
            <w:pPr>
              <w:spacing w:line="360" w:lineRule="auto"/>
              <w:ind w:firstLine="420" w:firstLineChars="200"/>
              <w:rPr>
                <w:rFonts w:hint="eastAsia" w:ascii="宋体" w:hAnsi="宋体" w:cs="宋体"/>
                <w:color w:val="000000"/>
                <w:kern w:val="0"/>
                <w:szCs w:val="21"/>
              </w:rPr>
            </w:pPr>
            <w:r>
              <w:rPr>
                <w:rFonts w:hint="eastAsia" w:ascii="宋体" w:hAnsi="宋体" w:cs="宋体"/>
                <w:szCs w:val="21"/>
              </w:rPr>
              <w:t>另外，抽查八份采购合同，供方均来自合格供方，基本符合要求，在</w:t>
            </w:r>
            <w:r>
              <w:rPr>
                <w:rFonts w:hint="eastAsia" w:ascii="宋体" w:hAnsi="宋体" w:cs="宋体"/>
                <w:color w:val="000000"/>
                <w:kern w:val="0"/>
                <w:szCs w:val="21"/>
              </w:rPr>
              <w:t>《外部提供产品、服务和过程控制程序》</w:t>
            </w:r>
            <w:r>
              <w:rPr>
                <w:rFonts w:hint="eastAsia" w:ascii="宋体" w:hAnsi="宋体" w:cs="宋体"/>
                <w:szCs w:val="21"/>
              </w:rPr>
              <w:t>中已规定了采购产品验证的方式，供方提供检测报告，并且应在采购验证的要求中得到规定，在本公司核实送货单和检验报告信息，并在顾客处进行检验情况，由顾客方代表在送货单上签字确认信息，当作产品验收信息。</w:t>
            </w:r>
          </w:p>
        </w:tc>
        <w:tc>
          <w:tcPr>
            <w:tcW w:w="1585" w:type="dxa"/>
          </w:tcPr>
          <w:p>
            <w:pPr>
              <w:spacing w:line="360" w:lineRule="auto"/>
            </w:pPr>
          </w:p>
          <w:p>
            <w:pPr>
              <w:spacing w:line="360" w:lineRule="auto"/>
            </w:pPr>
          </w:p>
          <w:p>
            <w:pPr>
              <w:spacing w:line="360" w:lineRule="auto"/>
            </w:pPr>
          </w:p>
          <w:p>
            <w:pPr>
              <w:spacing w:line="360" w:lineRule="auto"/>
            </w:pPr>
            <w:r>
              <w:rPr>
                <w:rFonts w:hint="eastAsia"/>
              </w:rPr>
              <w:t>N</w:t>
            </w:r>
          </w:p>
          <w:p>
            <w:pPr>
              <w:spacing w:line="360" w:lineRule="auto"/>
            </w:pPr>
          </w:p>
          <w:p>
            <w:pPr>
              <w:spacing w:line="360" w:lineRule="auto"/>
            </w:pPr>
          </w:p>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生产和服务提供过程的控制</w:t>
            </w:r>
          </w:p>
          <w:p>
            <w:pPr>
              <w:spacing w:line="360" w:lineRule="auto"/>
              <w:rPr>
                <w:rFonts w:ascii="宋体" w:hAnsi="宋体" w:cs="宋体"/>
                <w:color w:val="000000"/>
                <w:kern w:val="0"/>
                <w:szCs w:val="21"/>
              </w:rPr>
            </w:pPr>
            <w:r>
              <w:rPr>
                <w:rFonts w:hint="eastAsia" w:ascii="宋体" w:hAnsi="宋体" w:cs="宋体"/>
                <w:color w:val="000000"/>
                <w:kern w:val="0"/>
                <w:szCs w:val="21"/>
              </w:rPr>
              <w:t>产品标识和可追溯性</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交付后的相关处置</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放行</w:t>
            </w:r>
          </w:p>
        </w:tc>
        <w:tc>
          <w:tcPr>
            <w:tcW w:w="998" w:type="dxa"/>
          </w:tcPr>
          <w:p>
            <w:pPr>
              <w:spacing w:line="360" w:lineRule="auto"/>
              <w:rPr>
                <w:rFonts w:ascii="宋体" w:hAnsi="宋体" w:cs="宋体"/>
                <w:color w:val="000000"/>
                <w:kern w:val="0"/>
                <w:szCs w:val="21"/>
              </w:rPr>
            </w:pPr>
            <w:r>
              <w:rPr>
                <w:rFonts w:ascii="宋体" w:hAnsi="宋体" w:cs="宋体"/>
                <w:color w:val="000000"/>
                <w:kern w:val="0"/>
                <w:szCs w:val="21"/>
              </w:rPr>
              <w:t>Q</w:t>
            </w:r>
            <w:r>
              <w:rPr>
                <w:rFonts w:hint="eastAsia" w:ascii="宋体" w:hAnsi="宋体" w:cs="宋体"/>
                <w:color w:val="000000"/>
                <w:kern w:val="0"/>
                <w:szCs w:val="21"/>
              </w:rPr>
              <w:t>8</w:t>
            </w:r>
            <w:r>
              <w:rPr>
                <w:rFonts w:ascii="宋体" w:hAnsi="宋体" w:cs="宋体"/>
                <w:color w:val="000000"/>
                <w:kern w:val="0"/>
                <w:szCs w:val="21"/>
              </w:rPr>
              <w:t>.5.1</w:t>
            </w: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8.5.2</w:t>
            </w:r>
          </w:p>
          <w:p>
            <w:pPr>
              <w:spacing w:line="360" w:lineRule="auto"/>
              <w:rPr>
                <w:rFonts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8.5.5</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8.6</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公司提供铝模租赁服务的过程主要：签订合同，设计管理部确认底图深化，下达订单，根据订单安排物资的确认和验收，交付到租赁方，提供售后服务，工程结束后，及时将铝模等回收交还供方。公司自身不负责铝模的生产和维护，主要做好铝模租赁过程的需求信息的收集、设计、订单（组织向铝模生产提供方下达）及跟踪，后续异常问题的处置等。因为公司提供的是租赁服务，所以在放行管理中进货检验、过程检验和成品检验等体现为对外部供方提供的铝模的验收（也是成品放行的过程），过程检查主要通过对交期、预拼装等检验把关管理。</w:t>
            </w:r>
          </w:p>
          <w:p>
            <w:pPr>
              <w:spacing w:line="360" w:lineRule="auto"/>
              <w:rPr>
                <w:rFonts w:ascii="宋体" w:hAnsi="宋体" w:cs="宋体"/>
                <w:szCs w:val="21"/>
              </w:rPr>
            </w:pPr>
            <w:r>
              <w:rPr>
                <w:rFonts w:hint="eastAsia" w:ascii="宋体" w:hAnsi="宋体" w:cs="宋体"/>
                <w:color w:val="000000"/>
                <w:kern w:val="0"/>
                <w:szCs w:val="21"/>
              </w:rPr>
              <w:t>抽查编号为C</w:t>
            </w:r>
            <w:r>
              <w:rPr>
                <w:rFonts w:ascii="宋体" w:hAnsi="宋体" w:cs="宋体"/>
                <w:color w:val="000000"/>
                <w:kern w:val="0"/>
                <w:szCs w:val="21"/>
              </w:rPr>
              <w:t>YX19050578</w:t>
            </w:r>
            <w:r>
              <w:rPr>
                <w:rFonts w:hint="eastAsia" w:ascii="宋体" w:hAnsi="宋体" w:cs="宋体"/>
                <w:color w:val="000000"/>
                <w:kern w:val="0"/>
                <w:szCs w:val="21"/>
              </w:rPr>
              <w:t>的河南商丘碧桂园·天麓东苑1#</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#楼项目。根据合同和设计管理部的方案，物资管理部编制了铝模板（含支撑加固体系及配件）清单，如可调单支顶、对拉螺杆、垫片、长销钉、短销钉、斜撑杆、背楞（铁/铝）、传料箱等，提供了与</w:t>
            </w:r>
            <w:r>
              <w:rPr>
                <w:rFonts w:hint="eastAsia" w:ascii="宋体" w:hAnsi="宋体" w:cs="宋体"/>
                <w:szCs w:val="21"/>
              </w:rPr>
              <w:t>河南襄平模板租赁有限公司（属合格供方）签订的租赁合同。提供了供方铝模的产品检验报告，如公差尺寸、强度等，提供了预拼装项目验收单，抽查3#楼验收单，预拼装单位为河南襄平模板租赁有限公司，检验项目包括铝模板结构尺寸，标准为楼板梁，墙等尺寸与尺寸平面图相符，检验结果为合格。另外还有所有铝模板安装、加固件安装齐全、铝模板编号、拉力丝孔位等1</w:t>
            </w:r>
            <w:r>
              <w:rPr>
                <w:rFonts w:ascii="宋体" w:hAnsi="宋体" w:cs="宋体"/>
                <w:szCs w:val="21"/>
              </w:rPr>
              <w:t>4</w:t>
            </w:r>
            <w:r>
              <w:rPr>
                <w:rFonts w:hint="eastAsia" w:ascii="宋体" w:hAnsi="宋体" w:cs="宋体"/>
                <w:szCs w:val="21"/>
              </w:rPr>
              <w:t>项，检验结论均为合格，合作方签字为林发根，昌宜授权代表为徐果，使用方为孙亚东，时间为2</w:t>
            </w:r>
            <w:r>
              <w:rPr>
                <w:rFonts w:ascii="宋体" w:hAnsi="宋体" w:cs="宋体"/>
                <w:szCs w:val="21"/>
              </w:rPr>
              <w:t>020.7.17</w:t>
            </w:r>
            <w:r>
              <w:rPr>
                <w:rFonts w:hint="eastAsia" w:ascii="宋体" w:hAnsi="宋体" w:cs="宋体"/>
                <w:szCs w:val="21"/>
              </w:rPr>
              <w:t>。并提供了该项目的铝模砼结构验收表，包括项目名称，墙、梁（位置、尺寸、变换符合设计要求）、企口（器口位置、尺寸无差错）等1</w:t>
            </w:r>
            <w:r>
              <w:rPr>
                <w:rFonts w:ascii="宋体" w:hAnsi="宋体" w:cs="宋体"/>
                <w:szCs w:val="21"/>
              </w:rPr>
              <w:t>4</w:t>
            </w:r>
            <w:r>
              <w:rPr>
                <w:rFonts w:hint="eastAsia" w:ascii="宋体" w:hAnsi="宋体" w:cs="宋体"/>
                <w:szCs w:val="21"/>
              </w:rPr>
              <w:t>项验收项目，检验结果均为符合要求。结构尺寸验收结论为合格，有总包方中建二局第一建筑工程有限公司陕西分公司的盖章确认，时间为2</w:t>
            </w:r>
            <w:r>
              <w:rPr>
                <w:rFonts w:ascii="宋体" w:hAnsi="宋体" w:cs="宋体"/>
                <w:szCs w:val="21"/>
              </w:rPr>
              <w:t>020.7.25</w:t>
            </w:r>
            <w:r>
              <w:rPr>
                <w:rFonts w:hint="eastAsia" w:ascii="宋体" w:hAnsi="宋体" w:cs="宋体"/>
                <w:szCs w:val="21"/>
              </w:rPr>
              <w:t>。目前顾客正在使用过程中。</w:t>
            </w:r>
          </w:p>
          <w:p>
            <w:pPr>
              <w:spacing w:line="360" w:lineRule="auto"/>
              <w:rPr>
                <w:rFonts w:ascii="宋体" w:hAnsi="宋体" w:cs="宋体"/>
                <w:szCs w:val="21"/>
              </w:rPr>
            </w:pPr>
            <w:r>
              <w:rPr>
                <w:rFonts w:hint="eastAsia" w:ascii="宋体" w:hAnsi="宋体" w:cs="宋体"/>
                <w:szCs w:val="21"/>
              </w:rPr>
              <w:t>查使用完成后的产品处置，包括所租赁产品回收处置，主要通过合同内双方结算确认单，材料验收结算明细表等对铝模使用、损耗等进行统计核算。基本覆盖租赁所涉及的铝模及其相应配件。产品交付时，现场指导安装培训，内容涉及组装要求等。如客户在使用过程中出现问题，先通过电话进行解决，如远程无法解决，派专人到客户现场实地解决，此过程也是公司所涉及的不符合输出的管理过程。</w:t>
            </w:r>
          </w:p>
          <w:p>
            <w:pPr>
              <w:spacing w:line="360" w:lineRule="auto"/>
              <w:rPr>
                <w:rFonts w:hint="eastAsia" w:ascii="宋体" w:hAnsi="宋体" w:cs="宋体"/>
                <w:szCs w:val="21"/>
              </w:rPr>
            </w:pPr>
            <w:r>
              <w:rPr>
                <w:rFonts w:hint="eastAsia" w:ascii="宋体" w:hAnsi="宋体" w:cs="宋体"/>
                <w:szCs w:val="21"/>
              </w:rPr>
              <w:t>组织涉及的产品标识和追溯主要通过项目管理方式进行，对各类铝模等一般为型号等信息的标识，重点做好数量的确认和核对。项目档案管理基本符合。</w:t>
            </w:r>
          </w:p>
          <w:p>
            <w:pPr>
              <w:spacing w:line="360" w:lineRule="auto"/>
              <w:rPr>
                <w:rFonts w:hint="eastAsia" w:ascii="宋体" w:hAnsi="宋体" w:cs="宋体"/>
                <w:szCs w:val="21"/>
              </w:rPr>
            </w:pPr>
            <w:r>
              <w:rPr>
                <w:rFonts w:hint="eastAsia" w:ascii="宋体" w:hAnsi="宋体" w:cs="宋体"/>
                <w:szCs w:val="21"/>
              </w:rPr>
              <w:t>另外抽查，</w:t>
            </w:r>
            <w:r>
              <w:rPr>
                <w:rFonts w:hint="eastAsia"/>
                <w:szCs w:val="21"/>
              </w:rPr>
              <w:t>20</w:t>
            </w:r>
            <w:r>
              <w:rPr>
                <w:szCs w:val="21"/>
              </w:rPr>
              <w:t>19</w:t>
            </w:r>
            <w:r>
              <w:rPr>
                <w:rFonts w:hint="eastAsia"/>
                <w:szCs w:val="21"/>
              </w:rPr>
              <w:t>-</w:t>
            </w:r>
            <w:r>
              <w:rPr>
                <w:szCs w:val="21"/>
              </w:rPr>
              <w:t>4</w:t>
            </w:r>
            <w:r>
              <w:rPr>
                <w:rFonts w:hint="eastAsia"/>
                <w:szCs w:val="21"/>
              </w:rPr>
              <w:t>-</w:t>
            </w:r>
            <w:r>
              <w:rPr>
                <w:szCs w:val="21"/>
              </w:rPr>
              <w:t>24</w:t>
            </w:r>
            <w:r>
              <w:rPr>
                <w:rFonts w:hint="eastAsia"/>
                <w:szCs w:val="21"/>
              </w:rPr>
              <w:t>与</w:t>
            </w:r>
            <w:r>
              <w:rPr>
                <w:rFonts w:hint="eastAsia" w:ascii="宋体" w:hAnsi="宋体" w:cs="宋体"/>
                <w:color w:val="000000"/>
                <w:kern w:val="0"/>
                <w:szCs w:val="21"/>
              </w:rPr>
              <w:t>安徽昌宜建筑科技有限公司</w:t>
            </w:r>
            <w:r>
              <w:rPr>
                <w:rFonts w:hint="eastAsia"/>
                <w:szCs w:val="21"/>
              </w:rPr>
              <w:t>签订2</w:t>
            </w:r>
            <w:r>
              <w:rPr>
                <w:szCs w:val="21"/>
              </w:rPr>
              <w:t>022</w:t>
            </w:r>
            <w:r>
              <w:rPr>
                <w:rFonts w:hint="eastAsia"/>
                <w:szCs w:val="21"/>
              </w:rPr>
              <w:t>年第1</w:t>
            </w:r>
            <w:r>
              <w:rPr>
                <w:szCs w:val="21"/>
              </w:rPr>
              <w:t>9</w:t>
            </w:r>
            <w:r>
              <w:rPr>
                <w:rFonts w:hint="eastAsia"/>
                <w:szCs w:val="21"/>
              </w:rPr>
              <w:t>届杭州亚运会媒体村地块项目合同，黑龙江省哈尔冰市万达文化旅游城配件住宅项目、湖南省长沙市绿地V岛、湖南永州碧桂园中央公园项目等1</w:t>
            </w:r>
            <w:r>
              <w:rPr>
                <w:szCs w:val="21"/>
              </w:rPr>
              <w:t>3</w:t>
            </w:r>
            <w:r>
              <w:rPr>
                <w:rFonts w:hint="eastAsia"/>
                <w:szCs w:val="21"/>
              </w:rPr>
              <w:t>个项目的租赁情况管理，基本符合要求。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szCs w:val="21"/>
              </w:rPr>
            </w:pPr>
            <w:r>
              <w:rPr>
                <w:rFonts w:hint="eastAsia" w:ascii="宋体" w:hAnsi="宋体" w:cs="宋体"/>
                <w:color w:val="000000"/>
                <w:szCs w:val="21"/>
              </w:rPr>
              <w:t>顾客或外供方财产</w:t>
            </w:r>
          </w:p>
          <w:p>
            <w:pPr>
              <w:spacing w:line="360" w:lineRule="auto"/>
              <w:rPr>
                <w:rFonts w:ascii="宋体" w:hAnsi="宋体" w:cs="宋体"/>
                <w:szCs w:val="21"/>
              </w:rPr>
            </w:pPr>
            <w:r>
              <w:rPr>
                <w:rFonts w:hint="eastAsia" w:ascii="宋体" w:hAnsi="宋体" w:cs="宋体"/>
                <w:color w:val="000000"/>
                <w:szCs w:val="21"/>
              </w:rPr>
              <w:t>产品防护</w:t>
            </w: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8.5.3</w:t>
            </w:r>
          </w:p>
          <w:p>
            <w:pPr>
              <w:spacing w:line="360" w:lineRule="auto"/>
              <w:rPr>
                <w:rFonts w:ascii="宋体" w:hAnsi="宋体" w:cs="宋体"/>
                <w:szCs w:val="21"/>
              </w:rPr>
            </w:pPr>
            <w:r>
              <w:rPr>
                <w:rFonts w:hint="eastAsia" w:ascii="宋体" w:hAnsi="宋体" w:cs="宋体"/>
                <w:szCs w:val="21"/>
              </w:rPr>
              <w:t>Q</w:t>
            </w:r>
            <w:r>
              <w:rPr>
                <w:rFonts w:ascii="宋体" w:hAnsi="宋体" w:cs="宋体"/>
                <w:szCs w:val="21"/>
              </w:rPr>
              <w:t>8.5.4</w:t>
            </w:r>
          </w:p>
        </w:tc>
        <w:tc>
          <w:tcPr>
            <w:tcW w:w="10004" w:type="dxa"/>
            <w:vAlign w:val="center"/>
          </w:tcPr>
          <w:p>
            <w:pPr>
              <w:spacing w:line="360" w:lineRule="auto"/>
              <w:rPr>
                <w:rFonts w:hint="eastAsia" w:ascii="宋体" w:hAnsi="宋体" w:cs="宋体"/>
                <w:szCs w:val="21"/>
              </w:rPr>
            </w:pPr>
            <w:r>
              <w:rPr>
                <w:rFonts w:hint="eastAsia" w:ascii="宋体" w:hAnsi="宋体" w:cs="宋体"/>
                <w:szCs w:val="21"/>
              </w:rPr>
              <w:t>顾客或外部供方的财产包括：提供的施工图、建筑图、资质证明文件（如营业执照和其它资质文件）、银行账号、联系方式、经营地址及档案资料等信息，由部门专门人员负责管理，分类登记放置。未发生损坏丢失等现象。公司所出租的铝模板及配件等，均来自供方，有对使用方相关防护及消耗损坏补偿等按照相关规定，如</w:t>
            </w:r>
            <w:r>
              <w:rPr>
                <w:rFonts w:hint="eastAsia" w:ascii="宋体" w:hAnsi="宋体" w:cs="宋体"/>
                <w:color w:val="000000"/>
                <w:kern w:val="0"/>
                <w:szCs w:val="21"/>
              </w:rPr>
              <w:t>编号为C</w:t>
            </w:r>
            <w:r>
              <w:rPr>
                <w:rFonts w:ascii="宋体" w:hAnsi="宋体" w:cs="宋体"/>
                <w:color w:val="000000"/>
                <w:kern w:val="0"/>
                <w:szCs w:val="21"/>
              </w:rPr>
              <w:t>YX19050578</w:t>
            </w:r>
            <w:r>
              <w:rPr>
                <w:rFonts w:hint="eastAsia" w:ascii="宋体" w:hAnsi="宋体" w:cs="宋体"/>
                <w:color w:val="000000"/>
                <w:kern w:val="0"/>
                <w:szCs w:val="21"/>
              </w:rPr>
              <w:t>的河南商丘碧桂园·天麓东苑1#</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#楼项目提供的《铝合金模板租赁合同》中有《维修报废赔偿标准》，如模板变形，按原价5</w:t>
            </w:r>
            <w:r>
              <w:rPr>
                <w:rFonts w:ascii="宋体" w:hAnsi="宋体" w:cs="宋体"/>
                <w:color w:val="000000"/>
                <w:kern w:val="0"/>
                <w:szCs w:val="21"/>
              </w:rPr>
              <w:t>0</w:t>
            </w:r>
            <w:r>
              <w:rPr>
                <w:rFonts w:hint="eastAsia" w:ascii="宋体" w:hAnsi="宋体" w:cs="宋体"/>
                <w:color w:val="000000"/>
                <w:kern w:val="0"/>
                <w:szCs w:val="21"/>
              </w:rPr>
              <w:t>%，模板未清砼，按X</w:t>
            </w:r>
            <w:r>
              <w:rPr>
                <w:rFonts w:ascii="宋体" w:hAnsi="宋体" w:cs="宋体"/>
                <w:color w:val="000000"/>
                <w:kern w:val="0"/>
                <w:szCs w:val="21"/>
              </w:rPr>
              <w:t>X</w:t>
            </w:r>
            <w:r>
              <w:rPr>
                <w:rFonts w:hint="eastAsia" w:ascii="宋体" w:hAnsi="宋体" w:cs="宋体"/>
                <w:color w:val="000000"/>
                <w:kern w:val="0"/>
                <w:szCs w:val="21"/>
              </w:rPr>
              <w:t>元/㎡等信息。实际在与供方合同也会有同样约定，在组织与供方、顾客等三方能够达成协议，处置基本符合要求。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hint="eastAsia" w:ascii="宋体" w:hAnsi="宋体" w:cs="宋体"/>
                <w:color w:val="000000"/>
                <w:szCs w:val="21"/>
              </w:rPr>
            </w:pPr>
            <w:r>
              <w:rPr>
                <w:rFonts w:hint="eastAsia" w:ascii="宋体" w:hAnsi="宋体" w:cs="宋体"/>
                <w:color w:val="000000"/>
                <w:szCs w:val="21"/>
              </w:rPr>
              <w:t>不合格输出的管理</w:t>
            </w:r>
          </w:p>
        </w:tc>
        <w:tc>
          <w:tcPr>
            <w:tcW w:w="998"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8.7</w:t>
            </w:r>
          </w:p>
        </w:tc>
        <w:tc>
          <w:tcPr>
            <w:tcW w:w="10004" w:type="dxa"/>
            <w:vAlign w:val="center"/>
          </w:tcPr>
          <w:p>
            <w:pPr>
              <w:spacing w:line="360" w:lineRule="auto"/>
              <w:rPr>
                <w:rFonts w:ascii="宋体" w:hAnsi="宋体" w:cs="宋体"/>
                <w:szCs w:val="21"/>
              </w:rPr>
            </w:pPr>
            <w:r>
              <w:rPr>
                <w:rFonts w:hint="eastAsia" w:ascii="宋体" w:hAnsi="宋体" w:cs="宋体"/>
                <w:szCs w:val="21"/>
              </w:rPr>
              <w:t>组织编制了《不合格控制程序》；如客户在使用过程中出现问题，先通过电话进行解决，如远程无法解决，派专人到客户现场实地解决，此过程也是公司所涉及的不符合输出的管理过程。</w:t>
            </w:r>
          </w:p>
          <w:p>
            <w:pPr>
              <w:spacing w:line="360" w:lineRule="auto"/>
              <w:rPr>
                <w:rFonts w:ascii="宋体" w:hAnsi="宋体" w:cs="宋体"/>
                <w:szCs w:val="21"/>
              </w:rPr>
            </w:pPr>
            <w:r>
              <w:rPr>
                <w:rFonts w:hint="eastAsia" w:ascii="宋体" w:hAnsi="宋体" w:cs="宋体"/>
                <w:szCs w:val="21"/>
              </w:rPr>
              <w:t>询问主要出现问题有配件不足，预拼装不一致等情况，提供了相关的信息反馈单，查2</w:t>
            </w:r>
            <w:r>
              <w:rPr>
                <w:rFonts w:ascii="宋体" w:hAnsi="宋体" w:cs="宋体"/>
                <w:szCs w:val="21"/>
              </w:rPr>
              <w:t>020</w:t>
            </w:r>
            <w:r>
              <w:rPr>
                <w:rFonts w:hint="eastAsia" w:ascii="宋体" w:hAnsi="宋体" w:cs="宋体"/>
                <w:szCs w:val="21"/>
              </w:rPr>
              <w:t>年7</w:t>
            </w:r>
            <w:r>
              <w:rPr>
                <w:rFonts w:ascii="宋体" w:hAnsi="宋体" w:cs="宋体"/>
                <w:szCs w:val="21"/>
              </w:rPr>
              <w:t>.9</w:t>
            </w:r>
            <w:r>
              <w:rPr>
                <w:rFonts w:hint="eastAsia" w:ascii="宋体" w:hAnsi="宋体" w:cs="宋体"/>
                <w:szCs w:val="21"/>
              </w:rPr>
              <w:t>广州花都狮岭项目《铝模砼结构验收表》显示外窗压条有个别窗口未设置滴水线，处置为按照要求重新提供，整改已完成。查2</w:t>
            </w:r>
            <w:r>
              <w:rPr>
                <w:rFonts w:ascii="宋体" w:hAnsi="宋体" w:cs="宋体"/>
                <w:szCs w:val="21"/>
              </w:rPr>
              <w:t>020.1.10</w:t>
            </w:r>
            <w:r>
              <w:rPr>
                <w:rFonts w:hint="eastAsia" w:ascii="宋体" w:hAnsi="宋体" w:cs="宋体"/>
                <w:szCs w:val="21"/>
              </w:rPr>
              <w:t>《义乌有机更新向阳项目》问题为深化配模出现错误，处置为“已修改，未补货”，处置结果为验收合格，盖有总包（浙江耀厦控股集团有限公司）签章。</w:t>
            </w:r>
          </w:p>
          <w:p>
            <w:pPr>
              <w:spacing w:line="360" w:lineRule="auto"/>
              <w:rPr>
                <w:rFonts w:hint="eastAsia" w:ascii="宋体" w:hAnsi="宋体" w:cs="宋体"/>
                <w:szCs w:val="21"/>
              </w:rPr>
            </w:pPr>
            <w:r>
              <w:rPr>
                <w:rFonts w:hint="eastAsia" w:ascii="宋体" w:hAnsi="宋体" w:cs="宋体"/>
                <w:szCs w:val="21"/>
              </w:rPr>
              <w:t>但对不符合处置未进行统计和分析，现场沟通。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b/>
                <w:szCs w:val="21"/>
              </w:rPr>
            </w:pPr>
            <w:r>
              <w:rPr>
                <w:rFonts w:hint="eastAsia" w:ascii="宋体" w:hAnsi="宋体" w:cs="宋体"/>
                <w:szCs w:val="21"/>
              </w:rPr>
              <w:t>环境因素识别、危险源识别</w:t>
            </w:r>
          </w:p>
        </w:tc>
        <w:tc>
          <w:tcPr>
            <w:tcW w:w="998"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360" w:lineRule="auto"/>
              <w:rPr>
                <w:b/>
                <w:szCs w:val="21"/>
              </w:rPr>
            </w:pPr>
            <w:r>
              <w:rPr>
                <w:szCs w:val="21"/>
              </w:rPr>
              <w:t>O</w:t>
            </w:r>
            <w:r>
              <w:rPr>
                <w:rFonts w:ascii="宋体" w:hAnsi="宋体" w:cs="宋体"/>
                <w:szCs w:val="21"/>
              </w:rPr>
              <w:t>6.1.2</w:t>
            </w:r>
          </w:p>
        </w:tc>
        <w:tc>
          <w:tcPr>
            <w:tcW w:w="10004" w:type="dxa"/>
            <w:vAlign w:val="center"/>
          </w:tcPr>
          <w:p>
            <w:pPr>
              <w:spacing w:line="360" w:lineRule="auto"/>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360" w:lineRule="auto"/>
              <w:ind w:firstLine="420" w:firstLineChars="200"/>
              <w:rPr>
                <w:szCs w:val="21"/>
              </w:rPr>
            </w:pPr>
            <w:r>
              <w:rPr>
                <w:rFonts w:hint="eastAsia"/>
                <w:szCs w:val="21"/>
              </w:rPr>
              <w:t>提供了“环境因素清单”，识别的环境因素标明时态、状态和对环境的影响；经查阅识别出对物资管理部/工程部在办公活动中产生的</w:t>
            </w:r>
            <w:r>
              <w:rPr>
                <w:rFonts w:hint="eastAsia" w:ascii="宋体" w:hAnsi="宋体" w:cs="宋体"/>
                <w:szCs w:val="21"/>
              </w:rPr>
              <w:t>危险固废的排放、水电消耗、潜在火灾、生活垃圾的排放</w:t>
            </w:r>
            <w:r>
              <w:rPr>
                <w:rFonts w:hint="eastAsia"/>
                <w:szCs w:val="21"/>
              </w:rPr>
              <w:t>等环境因素及考虑到环境管理体系发生变更时可能产生的环境因素。</w:t>
            </w:r>
          </w:p>
          <w:p>
            <w:pPr>
              <w:spacing w:line="360" w:lineRule="auto"/>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危险固废的排放、水电消耗、潜在火灾、生活垃圾的排放</w:t>
            </w:r>
            <w:r>
              <w:rPr>
                <w:rFonts w:hint="eastAsia"/>
                <w:szCs w:val="21"/>
              </w:rPr>
              <w:t>；提供了针对重要环境因素，编的环境目标、指标及管理方案，内容包括：目标指标、实施方法与预计资金、完成日期、检查部门等。</w:t>
            </w:r>
          </w:p>
          <w:p>
            <w:pPr>
              <w:spacing w:line="360" w:lineRule="auto"/>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szCs w:val="21"/>
              </w:rPr>
            </w:pPr>
            <w:r>
              <w:rPr>
                <w:rFonts w:hint="eastAsia"/>
                <w:szCs w:val="21"/>
              </w:rPr>
              <w:t>提供了“危险源辨识和风险评价表”，对活动场所产生的危险源辨识并进行风险评价，以确定控制措施，经查阅已辨识外出</w:t>
            </w:r>
            <w:r>
              <w:rPr>
                <w:rFonts w:hint="eastAsia" w:ascii="宋体" w:hAnsi="宋体" w:cs="宋体"/>
                <w:szCs w:val="21"/>
              </w:rPr>
              <w:t>触电、潜在火灾事故、交通事故、意外工伤事故</w:t>
            </w:r>
            <w:r>
              <w:rPr>
                <w:rFonts w:hint="eastAsia"/>
                <w:szCs w:val="21"/>
              </w:rPr>
              <w:t>等危险因素。</w:t>
            </w:r>
          </w:p>
          <w:p>
            <w:pPr>
              <w:spacing w:line="360" w:lineRule="auto"/>
              <w:ind w:firstLine="420" w:firstLineChars="200"/>
              <w:rPr>
                <w:b/>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触电、潜在火灾事故、交通事故、意外工伤事故</w:t>
            </w:r>
            <w:r>
              <w:rPr>
                <w:rFonts w:hint="eastAsia"/>
                <w:szCs w:val="21"/>
              </w:rPr>
              <w:t>；针对不可接受风险编制了职业健康安全目标、指标及管理方案，内容包括：目标指标、实施方法与预计资金、完成日期、检查部门等。</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b/>
                <w:szCs w:val="21"/>
              </w:rPr>
            </w:pPr>
            <w:r>
              <w:rPr>
                <w:rFonts w:hint="eastAsia"/>
                <w:sz w:val="24"/>
                <w:szCs w:val="24"/>
              </w:rPr>
              <w:t>措施的策划</w:t>
            </w:r>
          </w:p>
        </w:tc>
        <w:tc>
          <w:tcPr>
            <w:tcW w:w="998" w:type="dxa"/>
          </w:tcPr>
          <w:p>
            <w:pPr>
              <w:spacing w:line="360" w:lineRule="auto"/>
              <w:rPr>
                <w:b/>
                <w:szCs w:val="21"/>
              </w:rPr>
            </w:pPr>
            <w:r>
              <w:rPr>
                <w:rFonts w:hint="eastAsia"/>
                <w:szCs w:val="21"/>
              </w:rPr>
              <w:t>E</w:t>
            </w:r>
            <w:r>
              <w:rPr>
                <w:szCs w:val="21"/>
              </w:rPr>
              <w:t>O</w:t>
            </w:r>
            <w:r>
              <w:rPr>
                <w:rFonts w:hint="eastAsia"/>
                <w:szCs w:val="21"/>
              </w:rPr>
              <w:t>6.1.4</w:t>
            </w:r>
          </w:p>
        </w:tc>
        <w:tc>
          <w:tcPr>
            <w:tcW w:w="10004" w:type="dxa"/>
            <w:vAlign w:val="center"/>
          </w:tcPr>
          <w:p>
            <w:pPr>
              <w:spacing w:line="360" w:lineRule="auto"/>
              <w:ind w:firstLine="420" w:firstLineChars="200"/>
              <w:rPr>
                <w:b/>
                <w:szCs w:val="21"/>
              </w:rPr>
            </w:pPr>
            <w:r>
              <w:rPr>
                <w:rFonts w:hint="eastAsia" w:ascii="宋体" w:hAnsi="宋体" w:cs="宋体"/>
                <w:kern w:val="0"/>
                <w:szCs w:val="21"/>
              </w:rPr>
              <w:t>在制定环境目标指标时，综合管理部</w:t>
            </w:r>
            <w:r>
              <w:rPr>
                <w:rFonts w:hint="eastAsia" w:ascii="宋体" w:hAnsi="宋体" w:cs="宋体"/>
                <w:szCs w:val="21"/>
              </w:rPr>
              <w:t>负责制定环境、职业健康安全目标及管理方案，总经理郭华厅负责批准。环境、职业健康安全管理方案中明确为实现环境、职业健康安全目标和指标的责任部门；规定实现环境、职业健康安全目标和指标的时间；具体措施和经费预算；都由总经理批准。环境、职业健康安全管理方案的实施，综合管理部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22" w:type="dxa"/>
          </w:tcPr>
          <w:p>
            <w:pPr>
              <w:spacing w:line="360" w:lineRule="auto"/>
              <w:rPr>
                <w:szCs w:val="21"/>
              </w:rPr>
            </w:pPr>
            <w:r>
              <w:rPr>
                <w:rFonts w:hint="eastAsia"/>
                <w:szCs w:val="21"/>
              </w:rPr>
              <w:t>运行策划和控制</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szCs w:val="21"/>
              </w:rPr>
              <w:t>E</w:t>
            </w:r>
            <w:r>
              <w:rPr>
                <w:szCs w:val="21"/>
              </w:rPr>
              <w:t>O</w:t>
            </w:r>
            <w:r>
              <w:rPr>
                <w:rFonts w:hint="eastAsia"/>
                <w:szCs w:val="21"/>
              </w:rPr>
              <w:t>8.1</w:t>
            </w:r>
          </w:p>
        </w:tc>
        <w:tc>
          <w:tcPr>
            <w:tcW w:w="10004" w:type="dxa"/>
            <w:vAlign w:val="center"/>
          </w:tcPr>
          <w:p>
            <w:pPr>
              <w:spacing w:line="360" w:lineRule="auto"/>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360" w:lineRule="auto"/>
              <w:ind w:firstLine="420" w:firstLineChars="200"/>
              <w:rPr>
                <w:szCs w:val="21"/>
              </w:rPr>
            </w:pPr>
            <w:r>
              <w:rPr>
                <w:rFonts w:hint="eastAsia"/>
                <w:szCs w:val="21"/>
              </w:rPr>
              <w:t>1、废水管控</w:t>
            </w:r>
          </w:p>
          <w:p>
            <w:pPr>
              <w:spacing w:line="360" w:lineRule="auto"/>
              <w:ind w:firstLine="420" w:firstLineChars="200"/>
              <w:rPr>
                <w:szCs w:val="21"/>
              </w:rPr>
            </w:pPr>
            <w:r>
              <w:rPr>
                <w:rFonts w:hint="eastAsia"/>
                <w:szCs w:val="21"/>
              </w:rPr>
              <w:t>主要生活废水排入</w:t>
            </w:r>
            <w:r>
              <w:rPr>
                <w:rFonts w:hint="eastAsia"/>
                <w:szCs w:val="21"/>
                <w:lang w:val="en-US" w:eastAsia="zh-CN"/>
              </w:rPr>
              <w:t>大楼物业管网，</w:t>
            </w:r>
            <w:r>
              <w:rPr>
                <w:rFonts w:hint="eastAsia"/>
                <w:szCs w:val="21"/>
              </w:rPr>
              <w:t>政府污水管网统一处理。</w:t>
            </w:r>
          </w:p>
          <w:p>
            <w:pPr>
              <w:spacing w:line="360" w:lineRule="auto"/>
              <w:ind w:firstLine="420" w:firstLineChars="200"/>
              <w:rPr>
                <w:szCs w:val="21"/>
              </w:rPr>
            </w:pPr>
            <w:r>
              <w:rPr>
                <w:rFonts w:hint="eastAsia"/>
                <w:szCs w:val="21"/>
              </w:rPr>
              <w:t>2、固废管控</w:t>
            </w:r>
          </w:p>
          <w:p>
            <w:pPr>
              <w:spacing w:line="360" w:lineRule="auto"/>
              <w:ind w:firstLine="420" w:firstLineChars="200"/>
              <w:rPr>
                <w:rFonts w:hint="eastAsia"/>
                <w:szCs w:val="21"/>
              </w:rPr>
            </w:pPr>
            <w:r>
              <w:rPr>
                <w:rFonts w:hint="eastAsia"/>
                <w:szCs w:val="21"/>
              </w:rPr>
              <w:t>主要为生活垃圾，办公室有垃圾篓集中倒入垃圾站由市政环卫运送至统一地点集中处理。危废（墨盒、硒鼓、灯管）排放由杭州惠智办公用品有限公司回收；火灾，能源资源消耗等集中放置后，由有资质单位进行处理。</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3、</w:t>
            </w:r>
            <w:r>
              <w:rPr>
                <w:rFonts w:hint="eastAsia" w:ascii="Times New Roman" w:hAnsi="Times New Roman" w:cs="Times New Roman"/>
                <w:szCs w:val="21"/>
              </w:rPr>
              <w:t>产品周期的环境管控</w:t>
            </w:r>
          </w:p>
          <w:p>
            <w:pPr>
              <w:spacing w:line="360" w:lineRule="auto"/>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rPr>
              <w:t>公司</w:t>
            </w:r>
            <w:r>
              <w:rPr>
                <w:rFonts w:hint="eastAsia" w:ascii="Times New Roman" w:hAnsi="Times New Roman" w:cs="Times New Roman"/>
                <w:szCs w:val="21"/>
                <w:lang w:val="en-US" w:eastAsia="zh-CN"/>
              </w:rPr>
              <w:t>性质为租赁，与客户使用期合约到期后，拉回模板生产厂商，进行维护、维修；再由下一个项目使用承租。</w:t>
            </w:r>
          </w:p>
          <w:p>
            <w:pPr>
              <w:pStyle w:val="15"/>
              <w:numPr>
                <w:numId w:val="0"/>
              </w:numPr>
              <w:spacing w:line="360" w:lineRule="auto"/>
              <w:ind w:left="420" w:leftChars="0"/>
              <w:rPr>
                <w:szCs w:val="21"/>
              </w:rPr>
            </w:pPr>
            <w:r>
              <w:rPr>
                <w:rFonts w:hint="eastAsia"/>
                <w:szCs w:val="21"/>
                <w:lang w:val="en-US" w:eastAsia="zh-CN"/>
              </w:rPr>
              <w:t>4、</w:t>
            </w:r>
            <w:r>
              <w:rPr>
                <w:rFonts w:hint="eastAsia"/>
                <w:szCs w:val="21"/>
              </w:rPr>
              <w:t>能源资源管控</w:t>
            </w:r>
          </w:p>
          <w:p>
            <w:pPr>
              <w:spacing w:line="360" w:lineRule="auto"/>
              <w:ind w:firstLine="420" w:firstLineChars="200"/>
              <w:rPr>
                <w:szCs w:val="21"/>
              </w:rPr>
            </w:pPr>
            <w:r>
              <w:rPr>
                <w:rFonts w:hint="eastAsia"/>
                <w:szCs w:val="21"/>
              </w:rPr>
              <w:t>销售过程注意节水、节电、节油，人走关闭开关，未发现有漏水和浪费电能的现象。</w:t>
            </w:r>
          </w:p>
          <w:p>
            <w:pPr>
              <w:spacing w:line="360" w:lineRule="auto"/>
              <w:ind w:firstLine="420" w:firstLineChars="200"/>
              <w:rPr>
                <w:szCs w:val="21"/>
              </w:rPr>
            </w:pPr>
            <w:r>
              <w:rPr>
                <w:rFonts w:hint="eastAsia"/>
                <w:szCs w:val="21"/>
                <w:lang w:val="en-US" w:eastAsia="zh-CN"/>
              </w:rPr>
              <w:t>5、</w:t>
            </w:r>
            <w:r>
              <w:rPr>
                <w:rFonts w:hint="eastAsia"/>
                <w:szCs w:val="21"/>
              </w:rPr>
              <w:t>潜在火灾管控</w:t>
            </w:r>
          </w:p>
          <w:p>
            <w:pPr>
              <w:spacing w:line="360" w:lineRule="auto"/>
              <w:ind w:firstLine="420" w:firstLineChars="200"/>
              <w:rPr>
                <w:szCs w:val="21"/>
              </w:rPr>
            </w:pPr>
            <w:r>
              <w:rPr>
                <w:rFonts w:hint="eastAsia"/>
                <w:szCs w:val="21"/>
              </w:rPr>
              <w:t>公司办公室现场配有灭火器和应急预案。</w:t>
            </w:r>
          </w:p>
          <w:p>
            <w:pPr>
              <w:spacing w:line="360" w:lineRule="auto"/>
              <w:ind w:firstLine="420" w:firstLineChars="200"/>
              <w:rPr>
                <w:szCs w:val="21"/>
              </w:rPr>
            </w:pPr>
            <w:r>
              <w:rPr>
                <w:rFonts w:hint="eastAsia"/>
                <w:szCs w:val="21"/>
                <w:lang w:val="en-US" w:eastAsia="zh-CN"/>
              </w:rPr>
              <w:t>6、</w:t>
            </w:r>
            <w:r>
              <w:rPr>
                <w:rFonts w:hint="eastAsia"/>
                <w:szCs w:val="21"/>
              </w:rPr>
              <w:t>安全防护</w:t>
            </w:r>
          </w:p>
          <w:p>
            <w:pPr>
              <w:spacing w:line="360" w:lineRule="auto"/>
              <w:ind w:firstLine="420" w:firstLineChars="200"/>
              <w:rPr>
                <w:szCs w:val="21"/>
              </w:rPr>
            </w:pPr>
            <w:r>
              <w:rPr>
                <w:rFonts w:hint="eastAsia"/>
                <w:szCs w:val="21"/>
              </w:rPr>
              <w:t>疫情期间进出公司人员进行温度登记，查看健康码，公司给员工发放口罩等劳保用品，不允许私拉乱扔。</w:t>
            </w:r>
          </w:p>
          <w:p>
            <w:pPr>
              <w:spacing w:line="360" w:lineRule="auto"/>
              <w:ind w:firstLine="420" w:firstLineChars="200"/>
              <w:rPr>
                <w:szCs w:val="21"/>
              </w:rPr>
            </w:pPr>
            <w:r>
              <w:rPr>
                <w:rFonts w:hint="eastAsia"/>
                <w:szCs w:val="21"/>
                <w:lang w:val="en-US" w:eastAsia="zh-CN"/>
              </w:rPr>
              <w:t>7、</w:t>
            </w:r>
            <w:bookmarkStart w:id="2" w:name="_GoBack"/>
            <w:bookmarkEnd w:id="2"/>
            <w:r>
              <w:rPr>
                <w:rFonts w:hint="eastAsia"/>
                <w:szCs w:val="21"/>
              </w:rPr>
              <w:t>相关方施加影响情况</w:t>
            </w:r>
          </w:p>
          <w:p>
            <w:pPr>
              <w:spacing w:line="360" w:lineRule="auto"/>
              <w:ind w:firstLine="420" w:firstLineChars="200"/>
              <w:rPr>
                <w:rFonts w:hint="eastAsia" w:ascii="宋体" w:hAnsi="宋体" w:cs="宋体"/>
                <w:szCs w:val="21"/>
              </w:rPr>
            </w:pPr>
            <w:r>
              <w:rPr>
                <w:rFonts w:hint="eastAsia" w:ascii="宋体" w:hAnsi="宋体" w:cs="宋体"/>
                <w:color w:val="000000"/>
                <w:kern w:val="0"/>
                <w:szCs w:val="21"/>
              </w:rPr>
              <w:t>抽查发现未能提供铝模板供方安徽昌宜建筑科技有限公司的施加影响情况，未提供针对该相关方提供施加影响的证据。——不符合，已开具不符合报告</w:t>
            </w:r>
          </w:p>
        </w:tc>
        <w:tc>
          <w:tcPr>
            <w:tcW w:w="1585" w:type="dxa"/>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rPr>
            </w:pPr>
            <w:r>
              <w:rPr>
                <w:rFonts w:hint="eastAsia" w:ascii="宋体" w:hAnsi="宋体" w:cs="宋体"/>
                <w:szCs w:val="21"/>
              </w:rPr>
              <w:t>应急响应和准备</w:t>
            </w:r>
          </w:p>
        </w:tc>
        <w:tc>
          <w:tcPr>
            <w:tcW w:w="998" w:type="dxa"/>
          </w:tcPr>
          <w:p>
            <w:pPr>
              <w:spacing w:line="360" w:lineRule="auto"/>
              <w:rPr>
                <w:b/>
                <w:szCs w:val="21"/>
              </w:rPr>
            </w:pPr>
            <w:r>
              <w:rPr>
                <w:rFonts w:hint="eastAsia"/>
                <w:szCs w:val="21"/>
              </w:rPr>
              <w:t>E</w:t>
            </w:r>
            <w:r>
              <w:rPr>
                <w:szCs w:val="21"/>
              </w:rPr>
              <w:t>O</w:t>
            </w:r>
            <w:r>
              <w:rPr>
                <w:rFonts w:hint="eastAsia"/>
                <w:szCs w:val="21"/>
              </w:rPr>
              <w:t>8.2</w:t>
            </w:r>
          </w:p>
        </w:tc>
        <w:tc>
          <w:tcPr>
            <w:tcW w:w="10004" w:type="dxa"/>
            <w:vAlign w:val="center"/>
          </w:tcPr>
          <w:p>
            <w:pPr>
              <w:pStyle w:val="13"/>
              <w:spacing w:line="360" w:lineRule="auto"/>
              <w:rPr>
                <w:sz w:val="21"/>
                <w:szCs w:val="21"/>
              </w:rPr>
            </w:pPr>
            <w:r>
              <w:rPr>
                <w:rFonts w:hint="eastAsia"/>
                <w:sz w:val="21"/>
                <w:szCs w:val="21"/>
              </w:rPr>
              <w:t>编制了《应急准备和响应管理程序》，查看内容基本符合要求。</w:t>
            </w:r>
          </w:p>
          <w:p>
            <w:pPr>
              <w:pStyle w:val="13"/>
              <w:spacing w:line="360" w:lineRule="auto"/>
              <w:ind w:firstLineChars="0"/>
              <w:rPr>
                <w:sz w:val="21"/>
                <w:szCs w:val="21"/>
              </w:rPr>
            </w:pPr>
            <w:r>
              <w:rPr>
                <w:rFonts w:hint="eastAsia"/>
                <w:sz w:val="21"/>
                <w:szCs w:val="21"/>
              </w:rPr>
              <w:t>策划了应急预案包括触电、火灾、中暑、台风等应急预案。</w:t>
            </w:r>
          </w:p>
          <w:p>
            <w:pPr>
              <w:pStyle w:val="13"/>
              <w:spacing w:line="360" w:lineRule="auto"/>
              <w:ind w:firstLineChars="0"/>
              <w:rPr>
                <w:sz w:val="21"/>
                <w:szCs w:val="21"/>
              </w:rPr>
            </w:pPr>
            <w:r>
              <w:rPr>
                <w:rFonts w:hint="eastAsia"/>
                <w:sz w:val="21"/>
                <w:szCs w:val="21"/>
              </w:rPr>
              <w:t>查应急预案评估报告，通过以上评估，公司应急预案的制定基本合理。</w:t>
            </w:r>
          </w:p>
          <w:p>
            <w:pPr>
              <w:pStyle w:val="13"/>
              <w:spacing w:line="360" w:lineRule="auto"/>
              <w:ind w:firstLineChars="0"/>
              <w:rPr>
                <w:sz w:val="21"/>
                <w:szCs w:val="21"/>
              </w:rPr>
            </w:pPr>
            <w:r>
              <w:rPr>
                <w:rFonts w:hint="eastAsia"/>
                <w:sz w:val="21"/>
                <w:szCs w:val="21"/>
              </w:rPr>
              <w:t>公司进行了消防灭火演练，查应急演练记录。</w:t>
            </w:r>
          </w:p>
          <w:p>
            <w:pPr>
              <w:spacing w:line="360" w:lineRule="auto"/>
              <w:ind w:firstLine="420" w:firstLineChars="200"/>
              <w:rPr>
                <w:b/>
                <w:szCs w:val="21"/>
              </w:rPr>
            </w:pPr>
            <w:r>
              <w:rPr>
                <w:rFonts w:hint="eastAsia" w:ascii="Calibri" w:hAnsi="Calibri"/>
                <w:szCs w:val="21"/>
              </w:rPr>
              <w:t>查消防灭火演练，演练时间20</w:t>
            </w:r>
            <w:r>
              <w:rPr>
                <w:rFonts w:ascii="Calibri" w:hAnsi="Calibri"/>
                <w:szCs w:val="21"/>
              </w:rPr>
              <w:t>20.4.20</w:t>
            </w:r>
            <w:r>
              <w:rPr>
                <w:rFonts w:hint="eastAsia" w:ascii="Calibri" w:hAnsi="Calibri"/>
                <w:szCs w:val="21"/>
              </w:rPr>
              <w:t>，地点办公大楼前，对演练过程进行了描述，并对预案的有效性进行了评价。目前未发生火灾、人身伤害等事故。</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adjustRightInd w:val="0"/>
              <w:snapToGrid w:val="0"/>
              <w:spacing w:line="360" w:lineRule="auto"/>
              <w:rPr>
                <w:rFonts w:ascii="宋体" w:hAnsi="宋体"/>
                <w:spacing w:val="-12"/>
                <w:szCs w:val="21"/>
              </w:rPr>
            </w:pPr>
            <w:r>
              <w:rPr>
                <w:rFonts w:hint="eastAsia" w:ascii="宋体" w:hAnsi="宋体"/>
                <w:spacing w:val="-12"/>
                <w:szCs w:val="21"/>
              </w:rPr>
              <w:t>不合格和纠正措施</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hint="eastAsia" w:ascii="宋体" w:hAnsi="宋体" w:cs="宋体"/>
                <w:szCs w:val="21"/>
              </w:rPr>
              <w:t>QE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360" w:lineRule="auto"/>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360" w:lineRule="auto"/>
              <w:ind w:firstLine="420" w:firstLineChars="200"/>
              <w:jc w:val="left"/>
              <w:rPr>
                <w:szCs w:val="21"/>
              </w:rPr>
            </w:pPr>
            <w:r>
              <w:rPr>
                <w:rFonts w:hint="eastAsia"/>
                <w:szCs w:val="21"/>
              </w:rPr>
              <w:t>公司对纠正及预防措施的管理基本符合要求。</w:t>
            </w:r>
          </w:p>
          <w:p>
            <w:pPr>
              <w:snapToGrid w:val="0"/>
              <w:spacing w:line="360" w:lineRule="auto"/>
              <w:ind w:firstLine="420" w:firstLineChars="200"/>
              <w:jc w:val="left"/>
              <w:rPr>
                <w:szCs w:val="21"/>
              </w:rPr>
            </w:pPr>
            <w:r>
              <w:rPr>
                <w:rFonts w:hint="eastAsia"/>
                <w:szCs w:val="21"/>
              </w:rPr>
              <w:t>审核周期内，没有发生环境或职业健康安全方面的事故。</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709" w:type="dxa"/>
            <w:gridSpan w:val="4"/>
          </w:tcPr>
          <w:p>
            <w:pPr>
              <w:pStyle w:val="4"/>
              <w:spacing w:line="360" w:lineRule="auto"/>
              <w:rPr>
                <w:rFonts w:hint="default" w:eastAsia="宋体"/>
                <w:lang w:val="en-US" w:eastAsia="zh-CN"/>
              </w:rPr>
            </w:pPr>
            <w:r>
              <w:rPr>
                <w:rFonts w:hint="eastAsia"/>
                <w:lang w:val="en-US" w:eastAsia="zh-CN"/>
              </w:rPr>
              <w:t>备注：审核记录一组同时完成，QE部分由任泽华和王央央记录；O部分由林兵完成，</w:t>
            </w:r>
            <w:r>
              <w:rPr>
                <w:sz w:val="20"/>
              </w:rPr>
              <w:t>高粲淼</w:t>
            </w:r>
            <w:r>
              <w:rPr>
                <w:rFonts w:hint="eastAsia"/>
                <w:sz w:val="20"/>
                <w:lang w:val="en-US" w:eastAsia="zh-CN"/>
              </w:rPr>
              <w:t>提供技术指导</w:t>
            </w:r>
            <w:r>
              <w:rPr>
                <w:rFonts w:hint="eastAsia"/>
                <w:lang w:val="en-US" w:eastAsia="zh-CN"/>
              </w:rPr>
              <w:t>。</w:t>
            </w:r>
          </w:p>
          <w:p>
            <w:pPr>
              <w:spacing w:line="360" w:lineRule="auto"/>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11D"/>
    <w:rsid w:val="00011ABE"/>
    <w:rsid w:val="0004356D"/>
    <w:rsid w:val="000435E0"/>
    <w:rsid w:val="00053632"/>
    <w:rsid w:val="00076C21"/>
    <w:rsid w:val="00077C88"/>
    <w:rsid w:val="00081AFC"/>
    <w:rsid w:val="000A75BA"/>
    <w:rsid w:val="000B0CD5"/>
    <w:rsid w:val="000B6409"/>
    <w:rsid w:val="000E0869"/>
    <w:rsid w:val="000F14E3"/>
    <w:rsid w:val="001064D9"/>
    <w:rsid w:val="00115E0C"/>
    <w:rsid w:val="00117537"/>
    <w:rsid w:val="00121BF2"/>
    <w:rsid w:val="001311B9"/>
    <w:rsid w:val="00133E72"/>
    <w:rsid w:val="00140940"/>
    <w:rsid w:val="00140A69"/>
    <w:rsid w:val="001505DE"/>
    <w:rsid w:val="0016036E"/>
    <w:rsid w:val="00163574"/>
    <w:rsid w:val="00164FD7"/>
    <w:rsid w:val="001937C7"/>
    <w:rsid w:val="001945D7"/>
    <w:rsid w:val="001A05B6"/>
    <w:rsid w:val="001A3B63"/>
    <w:rsid w:val="001B3368"/>
    <w:rsid w:val="001C57A3"/>
    <w:rsid w:val="001F0E7B"/>
    <w:rsid w:val="002533F4"/>
    <w:rsid w:val="0027716B"/>
    <w:rsid w:val="00284ABB"/>
    <w:rsid w:val="00287457"/>
    <w:rsid w:val="002B36EC"/>
    <w:rsid w:val="002C22A6"/>
    <w:rsid w:val="002E29A0"/>
    <w:rsid w:val="002E55EA"/>
    <w:rsid w:val="002F05BD"/>
    <w:rsid w:val="002F1DAA"/>
    <w:rsid w:val="003015FB"/>
    <w:rsid w:val="00305B32"/>
    <w:rsid w:val="003121A6"/>
    <w:rsid w:val="00320053"/>
    <w:rsid w:val="003249EF"/>
    <w:rsid w:val="003273C2"/>
    <w:rsid w:val="00341E4D"/>
    <w:rsid w:val="003445A0"/>
    <w:rsid w:val="00364B1F"/>
    <w:rsid w:val="00382525"/>
    <w:rsid w:val="00384FEF"/>
    <w:rsid w:val="00385BF0"/>
    <w:rsid w:val="00397D3F"/>
    <w:rsid w:val="003C254E"/>
    <w:rsid w:val="003C3E64"/>
    <w:rsid w:val="003D3109"/>
    <w:rsid w:val="003E42F8"/>
    <w:rsid w:val="003E434A"/>
    <w:rsid w:val="004042E3"/>
    <w:rsid w:val="0042030E"/>
    <w:rsid w:val="0043712F"/>
    <w:rsid w:val="004450A7"/>
    <w:rsid w:val="004551EE"/>
    <w:rsid w:val="00470588"/>
    <w:rsid w:val="0047490C"/>
    <w:rsid w:val="004817A3"/>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773F0"/>
    <w:rsid w:val="005A2330"/>
    <w:rsid w:val="005A23B2"/>
    <w:rsid w:val="005A2461"/>
    <w:rsid w:val="005B6C34"/>
    <w:rsid w:val="005D2531"/>
    <w:rsid w:val="005E4274"/>
    <w:rsid w:val="00604A19"/>
    <w:rsid w:val="00611AF8"/>
    <w:rsid w:val="00621EA2"/>
    <w:rsid w:val="006256EF"/>
    <w:rsid w:val="00626A35"/>
    <w:rsid w:val="00646303"/>
    <w:rsid w:val="0066353B"/>
    <w:rsid w:val="00672093"/>
    <w:rsid w:val="00672CC5"/>
    <w:rsid w:val="00680222"/>
    <w:rsid w:val="006842EC"/>
    <w:rsid w:val="00696AD4"/>
    <w:rsid w:val="006A330D"/>
    <w:rsid w:val="006E4E1C"/>
    <w:rsid w:val="006F2650"/>
    <w:rsid w:val="006F2C8A"/>
    <w:rsid w:val="00713AF5"/>
    <w:rsid w:val="00715292"/>
    <w:rsid w:val="007469D5"/>
    <w:rsid w:val="00751977"/>
    <w:rsid w:val="0075560B"/>
    <w:rsid w:val="00756C63"/>
    <w:rsid w:val="00757BFB"/>
    <w:rsid w:val="00761387"/>
    <w:rsid w:val="00762AF7"/>
    <w:rsid w:val="00774749"/>
    <w:rsid w:val="007861D2"/>
    <w:rsid w:val="007B4E33"/>
    <w:rsid w:val="007C2312"/>
    <w:rsid w:val="007C5A7D"/>
    <w:rsid w:val="007C6A31"/>
    <w:rsid w:val="007D23C0"/>
    <w:rsid w:val="007E442C"/>
    <w:rsid w:val="007E6050"/>
    <w:rsid w:val="00800D15"/>
    <w:rsid w:val="00814B16"/>
    <w:rsid w:val="00814B77"/>
    <w:rsid w:val="00822033"/>
    <w:rsid w:val="008242EA"/>
    <w:rsid w:val="008265BB"/>
    <w:rsid w:val="00834CE8"/>
    <w:rsid w:val="0083751C"/>
    <w:rsid w:val="0085042B"/>
    <w:rsid w:val="00860368"/>
    <w:rsid w:val="008631F9"/>
    <w:rsid w:val="00863BB9"/>
    <w:rsid w:val="00871409"/>
    <w:rsid w:val="00877CE4"/>
    <w:rsid w:val="0089747A"/>
    <w:rsid w:val="008A1509"/>
    <w:rsid w:val="008A1FF7"/>
    <w:rsid w:val="008B15C7"/>
    <w:rsid w:val="008B209A"/>
    <w:rsid w:val="008B3B2F"/>
    <w:rsid w:val="008B5463"/>
    <w:rsid w:val="008C01A2"/>
    <w:rsid w:val="008C12D7"/>
    <w:rsid w:val="008D2E87"/>
    <w:rsid w:val="008D3475"/>
    <w:rsid w:val="008E03E3"/>
    <w:rsid w:val="008E6B08"/>
    <w:rsid w:val="00902300"/>
    <w:rsid w:val="0092791F"/>
    <w:rsid w:val="0093178E"/>
    <w:rsid w:val="00943EEF"/>
    <w:rsid w:val="00954D65"/>
    <w:rsid w:val="00955C0E"/>
    <w:rsid w:val="00973DC2"/>
    <w:rsid w:val="00976860"/>
    <w:rsid w:val="00991AEB"/>
    <w:rsid w:val="009977CF"/>
    <w:rsid w:val="009B1072"/>
    <w:rsid w:val="009D250B"/>
    <w:rsid w:val="00A01526"/>
    <w:rsid w:val="00A12A4B"/>
    <w:rsid w:val="00A25406"/>
    <w:rsid w:val="00A30F85"/>
    <w:rsid w:val="00A52229"/>
    <w:rsid w:val="00A76F84"/>
    <w:rsid w:val="00A852E5"/>
    <w:rsid w:val="00A86196"/>
    <w:rsid w:val="00A94706"/>
    <w:rsid w:val="00AA0BF9"/>
    <w:rsid w:val="00AB65C9"/>
    <w:rsid w:val="00AE55BD"/>
    <w:rsid w:val="00AE6698"/>
    <w:rsid w:val="00AF399D"/>
    <w:rsid w:val="00B007F3"/>
    <w:rsid w:val="00B03E0E"/>
    <w:rsid w:val="00B119B7"/>
    <w:rsid w:val="00B15512"/>
    <w:rsid w:val="00B25847"/>
    <w:rsid w:val="00B361C1"/>
    <w:rsid w:val="00B531A8"/>
    <w:rsid w:val="00B53B05"/>
    <w:rsid w:val="00B6507C"/>
    <w:rsid w:val="00BE2E8F"/>
    <w:rsid w:val="00BF35B6"/>
    <w:rsid w:val="00C174B1"/>
    <w:rsid w:val="00C269D8"/>
    <w:rsid w:val="00C277AC"/>
    <w:rsid w:val="00C41F32"/>
    <w:rsid w:val="00C4272D"/>
    <w:rsid w:val="00C44388"/>
    <w:rsid w:val="00C5000A"/>
    <w:rsid w:val="00C60481"/>
    <w:rsid w:val="00C60EB8"/>
    <w:rsid w:val="00C75857"/>
    <w:rsid w:val="00C80ADE"/>
    <w:rsid w:val="00C827AA"/>
    <w:rsid w:val="00C856E9"/>
    <w:rsid w:val="00C86CD6"/>
    <w:rsid w:val="00C94573"/>
    <w:rsid w:val="00CA1BE3"/>
    <w:rsid w:val="00CB4572"/>
    <w:rsid w:val="00CD1E5C"/>
    <w:rsid w:val="00CD4ED7"/>
    <w:rsid w:val="00CD58BC"/>
    <w:rsid w:val="00CE639B"/>
    <w:rsid w:val="00D05CE3"/>
    <w:rsid w:val="00D05DB2"/>
    <w:rsid w:val="00D5002E"/>
    <w:rsid w:val="00D52929"/>
    <w:rsid w:val="00D6037A"/>
    <w:rsid w:val="00D62BB7"/>
    <w:rsid w:val="00D937E0"/>
    <w:rsid w:val="00DA1571"/>
    <w:rsid w:val="00DA252A"/>
    <w:rsid w:val="00DE1A2C"/>
    <w:rsid w:val="00DE2372"/>
    <w:rsid w:val="00DE2FCE"/>
    <w:rsid w:val="00DE4B28"/>
    <w:rsid w:val="00DF19AB"/>
    <w:rsid w:val="00E0114F"/>
    <w:rsid w:val="00E11BD3"/>
    <w:rsid w:val="00E17655"/>
    <w:rsid w:val="00E219A3"/>
    <w:rsid w:val="00E40731"/>
    <w:rsid w:val="00E41911"/>
    <w:rsid w:val="00E556FE"/>
    <w:rsid w:val="00E65E24"/>
    <w:rsid w:val="00E80373"/>
    <w:rsid w:val="00E830DB"/>
    <w:rsid w:val="00E930F1"/>
    <w:rsid w:val="00E944DC"/>
    <w:rsid w:val="00E97654"/>
    <w:rsid w:val="00EA2EA2"/>
    <w:rsid w:val="00EA76A2"/>
    <w:rsid w:val="00EB1A5C"/>
    <w:rsid w:val="00EB6AAC"/>
    <w:rsid w:val="00EC1D69"/>
    <w:rsid w:val="00EC3DD9"/>
    <w:rsid w:val="00EC6D81"/>
    <w:rsid w:val="00ED1910"/>
    <w:rsid w:val="00ED41DC"/>
    <w:rsid w:val="00F01F3E"/>
    <w:rsid w:val="00F05246"/>
    <w:rsid w:val="00F11424"/>
    <w:rsid w:val="00F13731"/>
    <w:rsid w:val="00F43CC1"/>
    <w:rsid w:val="00F5455B"/>
    <w:rsid w:val="00F558E2"/>
    <w:rsid w:val="00F62C59"/>
    <w:rsid w:val="00F83D5E"/>
    <w:rsid w:val="00FA6A8B"/>
    <w:rsid w:val="00FB5026"/>
    <w:rsid w:val="00FB6FAA"/>
    <w:rsid w:val="00FF0A51"/>
    <w:rsid w:val="00FF1D21"/>
    <w:rsid w:val="00FF72C2"/>
    <w:rsid w:val="07753CC8"/>
    <w:rsid w:val="0A755CD1"/>
    <w:rsid w:val="11B844E6"/>
    <w:rsid w:val="264104A6"/>
    <w:rsid w:val="4C36305B"/>
    <w:rsid w:val="4CAE4954"/>
    <w:rsid w:val="4DED56EF"/>
    <w:rsid w:val="579C4427"/>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character" w:customStyle="1" w:styleId="14">
    <w:name w:val="正文文本 字符"/>
    <w:basedOn w:val="7"/>
    <w:link w:val="2"/>
    <w:uiPriority w:val="0"/>
    <w:rPr>
      <w:rFonts w:ascii="Times New Roman" w:hAnsi="Times New Roman" w:eastAsia="宋体" w:cs="Times New Roman"/>
      <w:kern w:val="2"/>
      <w:sz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1247</Words>
  <Characters>7109</Characters>
  <Lines>59</Lines>
  <Paragraphs>16</Paragraphs>
  <TotalTime>1</TotalTime>
  <ScaleCrop>false</ScaleCrop>
  <LinksUpToDate>false</LinksUpToDate>
  <CharactersWithSpaces>8340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2020-08-09T05:31:00Z</dcterms:created>
  <dc:creator>微软用户</dc:creator>
  <cp:lastModifiedBy>森林</cp:lastModifiedBy>
  <dcterms:modified xsi:type="dcterms:W3CDTF">2020-08-10T06:16:04Z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