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hint="eastAsia"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p>
      <w:pPr>
        <w:spacing w:line="480" w:lineRule="exact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受审核部门：管理层、</w:t>
      </w:r>
      <w:r>
        <w:rPr>
          <w:rFonts w:hint="eastAsia"/>
          <w:sz w:val="24"/>
          <w:szCs w:val="24"/>
          <w:lang w:eastAsia="zh-CN"/>
        </w:rPr>
        <w:t>行政人事</w:t>
      </w:r>
      <w:r>
        <w:rPr>
          <w:rFonts w:hint="eastAsia"/>
          <w:sz w:val="24"/>
          <w:szCs w:val="24"/>
        </w:rPr>
        <w:t>部、</w:t>
      </w:r>
      <w:r>
        <w:rPr>
          <w:rFonts w:hint="eastAsia"/>
          <w:sz w:val="24"/>
          <w:szCs w:val="24"/>
          <w:lang w:eastAsia="zh-CN"/>
        </w:rPr>
        <w:t>销售部</w:t>
      </w:r>
      <w:r>
        <w:rPr>
          <w:rFonts w:hint="eastAsia"/>
          <w:sz w:val="24"/>
          <w:szCs w:val="24"/>
          <w:lang w:val="en-US" w:eastAsia="zh-CN"/>
        </w:rPr>
        <w:t xml:space="preserve">    </w:t>
      </w:r>
    </w:p>
    <w:p>
      <w:pPr>
        <w:spacing w:line="480" w:lineRule="exact"/>
        <w:jc w:val="left"/>
        <w:rPr>
          <w:rFonts w:hint="eastAsia" w:ascii="隶书" w:hAnsi="宋体" w:eastAsia="宋体"/>
          <w:bCs/>
          <w:color w:val="000000"/>
          <w:sz w:val="36"/>
          <w:szCs w:val="36"/>
          <w:lang w:eastAsia="zh-CN"/>
        </w:rPr>
      </w:pPr>
      <w:r>
        <w:rPr>
          <w:rFonts w:hint="eastAsia"/>
          <w:sz w:val="24"/>
          <w:szCs w:val="24"/>
        </w:rPr>
        <w:t>陪同人员：</w:t>
      </w:r>
      <w:r>
        <w:rPr>
          <w:rFonts w:hint="eastAsia"/>
          <w:sz w:val="24"/>
          <w:szCs w:val="24"/>
          <w:lang w:eastAsia="zh-CN"/>
        </w:rPr>
        <w:t>王家伟</w:t>
      </w:r>
      <w:r>
        <w:rPr>
          <w:rFonts w:hint="eastAsia"/>
          <w:sz w:val="24"/>
          <w:szCs w:val="24"/>
          <w:lang w:val="en-US" w:eastAsia="zh-CN"/>
        </w:rPr>
        <w:t xml:space="preserve"> ，  </w:t>
      </w:r>
      <w:r>
        <w:rPr>
          <w:rFonts w:hint="eastAsia"/>
          <w:sz w:val="24"/>
          <w:szCs w:val="24"/>
        </w:rPr>
        <w:t>审核员：</w:t>
      </w:r>
      <w:r>
        <w:rPr>
          <w:rFonts w:hint="eastAsia"/>
          <w:sz w:val="24"/>
          <w:szCs w:val="24"/>
          <w:lang w:eastAsia="zh-CN"/>
        </w:rPr>
        <w:t>杨珍全、张心、文平，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审核时间：2020年</w:t>
      </w:r>
      <w:r>
        <w:rPr>
          <w:rFonts w:hint="eastAsia"/>
          <w:sz w:val="24"/>
          <w:szCs w:val="24"/>
          <w:lang w:val="en-US" w:eastAsia="zh-CN"/>
        </w:rPr>
        <w:t>7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>25</w:t>
      </w:r>
      <w:r>
        <w:rPr>
          <w:rFonts w:hint="eastAsia"/>
          <w:sz w:val="24"/>
          <w:szCs w:val="24"/>
        </w:rPr>
        <w:t>日</w:t>
      </w:r>
    </w:p>
    <w:p>
      <w:pPr>
        <w:spacing w:line="480" w:lineRule="exact"/>
        <w:jc w:val="center"/>
        <w:rPr>
          <w:rFonts w:hint="eastAsia" w:ascii="隶书" w:hAnsi="宋体" w:eastAsia="隶书"/>
          <w:bCs/>
          <w:color w:val="000000"/>
          <w:sz w:val="36"/>
          <w:szCs w:val="36"/>
        </w:rPr>
      </w:pPr>
    </w:p>
    <w:tbl>
      <w:tblPr>
        <w:tblStyle w:val="8"/>
        <w:tblW w:w="15123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7"/>
        <w:gridCol w:w="9625"/>
        <w:gridCol w:w="1004"/>
        <w:gridCol w:w="8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tblHeader/>
        </w:trPr>
        <w:tc>
          <w:tcPr>
            <w:tcW w:w="3687" w:type="dxa"/>
            <w:shd w:val="clear" w:color="auto" w:fill="E6E6E6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审核员</w:t>
            </w:r>
          </w:p>
        </w:tc>
        <w:tc>
          <w:tcPr>
            <w:tcW w:w="11436" w:type="dxa"/>
            <w:gridSpan w:val="3"/>
            <w:shd w:val="clear" w:color="auto" w:fill="E6E6E6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张心、文平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tblHeader/>
        </w:trPr>
        <w:tc>
          <w:tcPr>
            <w:tcW w:w="3687" w:type="dxa"/>
            <w:shd w:val="clear" w:color="auto" w:fill="E6E6E6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检  查  表</w:t>
            </w:r>
          </w:p>
        </w:tc>
        <w:tc>
          <w:tcPr>
            <w:tcW w:w="9625" w:type="dxa"/>
            <w:shd w:val="clear" w:color="auto" w:fill="E6E6E6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  核   记   录</w:t>
            </w:r>
          </w:p>
        </w:tc>
        <w:tc>
          <w:tcPr>
            <w:tcW w:w="1004" w:type="dxa"/>
            <w:shd w:val="clear" w:color="auto" w:fill="E6E6E6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标准号</w:t>
            </w:r>
          </w:p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条款号</w:t>
            </w:r>
          </w:p>
        </w:tc>
        <w:tc>
          <w:tcPr>
            <w:tcW w:w="807" w:type="dxa"/>
            <w:shd w:val="clear" w:color="auto" w:fill="E6E6E6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评估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3687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企业简介、组织机构及场所、资质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QMS审核，询问主要设备、原材料、关键过程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EMS审核，询问有无以下场所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锅炉房、配电室、实验室、化学品库、污水处理站、食堂、宿舍、空压机房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管理体系运行时间（3 个月以上）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确认组织实际与管理体系文件化信息描述的一致性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（如部门设置和负责人，生产和服务等过程）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管理体系文件名称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9625" w:type="dxa"/>
          </w:tcPr>
          <w:p>
            <w:pPr>
              <w:ind w:firstLine="420" w:firstLineChars="2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四川斯达康电气</w:t>
            </w:r>
            <w:r>
              <w:rPr>
                <w:rFonts w:hint="eastAsia"/>
                <w:szCs w:val="21"/>
              </w:rPr>
              <w:t>设备有限公司是设立在四川的具有独立法人资格的公司。我公司专业</w:t>
            </w:r>
            <w:r>
              <w:rPr>
                <w:rFonts w:hint="eastAsia"/>
                <w:szCs w:val="21"/>
                <w:lang w:eastAsia="zh-CN"/>
              </w:rPr>
              <w:t>销售</w:t>
            </w:r>
            <w:r>
              <w:rPr>
                <w:rFonts w:hint="eastAsia"/>
                <w:szCs w:val="21"/>
              </w:rPr>
              <w:t>发电机组</w:t>
            </w:r>
            <w:r>
              <w:rPr>
                <w:rFonts w:hint="eastAsia"/>
                <w:szCs w:val="21"/>
                <w:lang w:eastAsia="zh-CN"/>
              </w:rPr>
              <w:t>，</w:t>
            </w:r>
            <w:r>
              <w:rPr>
                <w:rFonts w:hint="eastAsia"/>
                <w:szCs w:val="21"/>
              </w:rPr>
              <w:t>具有雄厚的</w:t>
            </w:r>
            <w:r>
              <w:rPr>
                <w:rFonts w:hint="eastAsia"/>
                <w:szCs w:val="21"/>
                <w:lang w:eastAsia="zh-CN"/>
              </w:rPr>
              <w:t>服务</w:t>
            </w:r>
            <w:r>
              <w:rPr>
                <w:rFonts w:hint="eastAsia"/>
                <w:szCs w:val="21"/>
              </w:rPr>
              <w:t>力量，</w:t>
            </w:r>
            <w:r>
              <w:rPr>
                <w:rFonts w:hint="eastAsia"/>
                <w:szCs w:val="21"/>
                <w:lang w:eastAsia="zh-CN"/>
              </w:rPr>
              <w:t>技术</w:t>
            </w:r>
            <w:r>
              <w:rPr>
                <w:rFonts w:hint="eastAsia"/>
                <w:szCs w:val="21"/>
              </w:rPr>
              <w:t>实力。现有员工</w:t>
            </w:r>
            <w:r>
              <w:rPr>
                <w:rFonts w:hint="eastAsia"/>
                <w:szCs w:val="21"/>
                <w:lang w:val="en-US" w:eastAsia="zh-CN"/>
              </w:rPr>
              <w:t>9</w:t>
            </w:r>
            <w:r>
              <w:rPr>
                <w:rFonts w:hint="eastAsia"/>
                <w:szCs w:val="21"/>
              </w:rPr>
              <w:t>人，目前经营情况良好。</w:t>
            </w:r>
          </w:p>
          <w:p>
            <w:pPr>
              <w:pStyle w:val="10"/>
              <w:rPr>
                <w:rFonts w:hint="eastAsia"/>
              </w:rPr>
            </w:pPr>
          </w:p>
          <w:p>
            <w:pPr>
              <w:spacing w:line="0" w:lineRule="atLeast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查见企业营业执照副本，企业经营范围包含认证产品，具备有效资格，详见复印件。</w:t>
            </w:r>
          </w:p>
          <w:p>
            <w:pPr>
              <w:pStyle w:val="10"/>
              <w:rPr>
                <w:rFonts w:hint="eastAsia"/>
              </w:rPr>
            </w:pPr>
          </w:p>
          <w:p>
            <w:pPr>
              <w:spacing w:line="400" w:lineRule="exact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该公司目前成立了</w:t>
            </w:r>
            <w:r>
              <w:rPr>
                <w:rFonts w:hint="eastAsia" w:ascii="宋体" w:hAnsi="宋体"/>
                <w:szCs w:val="21"/>
                <w:lang w:eastAsia="zh-CN"/>
              </w:rPr>
              <w:t>二</w:t>
            </w:r>
            <w:r>
              <w:rPr>
                <w:rFonts w:hint="eastAsia" w:ascii="宋体" w:hAnsi="宋体"/>
                <w:szCs w:val="21"/>
              </w:rPr>
              <w:t>个部门：行政</w:t>
            </w:r>
            <w:r>
              <w:rPr>
                <w:rFonts w:hint="eastAsia" w:ascii="宋体" w:hAnsi="宋体"/>
                <w:szCs w:val="21"/>
                <w:lang w:eastAsia="zh-CN"/>
              </w:rPr>
              <w:t>人事</w:t>
            </w:r>
            <w:r>
              <w:rPr>
                <w:rFonts w:hint="eastAsia" w:ascii="宋体" w:hAnsi="宋体"/>
                <w:szCs w:val="21"/>
              </w:rPr>
              <w:t>部、</w:t>
            </w:r>
            <w:r>
              <w:rPr>
                <w:rFonts w:hint="eastAsia" w:ascii="宋体" w:hAnsi="宋体"/>
                <w:szCs w:val="21"/>
                <w:lang w:eastAsia="zh-CN"/>
              </w:rPr>
              <w:t>销售部</w:t>
            </w:r>
            <w:r>
              <w:rPr>
                <w:rFonts w:hint="eastAsia" w:ascii="宋体" w:hAnsi="宋体"/>
                <w:szCs w:val="21"/>
              </w:rPr>
              <w:t>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抽查：组织机构图、职能分配表、职责描述，基本保持一致。</w:t>
            </w:r>
          </w:p>
          <w:p>
            <w:pPr>
              <w:spacing w:line="240" w:lineRule="atLeast"/>
              <w:ind w:left="630" w:hanging="630" w:hangingChars="3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核实：</w:t>
            </w:r>
            <w:r>
              <w:rPr>
                <w:rFonts w:hint="eastAsia"/>
                <w:color w:val="000000"/>
                <w:szCs w:val="21"/>
                <w:lang w:val="de-DE"/>
              </w:rPr>
              <w:t>生产经营地址：</w:t>
            </w:r>
            <w:bookmarkStart w:id="0" w:name="生产地址"/>
            <w:r>
              <w:t>中国(四川)自由贸易试验区成都市青白江区清泉大道一段716号(成都万贯五金机电配送大市场(一期)61栋-1-3层12号)</w:t>
            </w:r>
            <w:bookmarkEnd w:id="0"/>
            <w:r>
              <w:rPr>
                <w:rFonts w:hint="eastAsia"/>
                <w:color w:val="000000"/>
                <w:szCs w:val="21"/>
                <w:lang w:val="de-DE"/>
              </w:rPr>
              <w:t>，与</w:t>
            </w:r>
            <w:r>
              <w:rPr>
                <w:rFonts w:hint="eastAsia" w:ascii="宋体" w:hAnsi="宋体"/>
                <w:szCs w:val="21"/>
              </w:rPr>
              <w:t>任务书一致。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经确认，认证范围为</w:t>
            </w:r>
          </w:p>
          <w:p>
            <w:pPr>
              <w:spacing w:line="30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b/>
                <w:color w:val="000000"/>
                <w:sz w:val="20"/>
              </w:rPr>
              <w:t>QMS:</w:t>
            </w:r>
            <w:r>
              <w:rPr>
                <w:rFonts w:hint="eastAsia" w:ascii="宋体" w:hAnsi="宋体"/>
                <w:szCs w:val="21"/>
              </w:rPr>
              <w:t>发电机组的销售。</w:t>
            </w:r>
          </w:p>
          <w:p>
            <w:pPr>
              <w:rPr>
                <w:rFonts w:ascii="宋体"/>
                <w:b/>
                <w:color w:val="000000"/>
                <w:sz w:val="20"/>
              </w:rPr>
            </w:pPr>
            <w:r>
              <w:rPr>
                <w:rFonts w:ascii="宋体" w:hAnsi="宋体"/>
                <w:b/>
                <w:color w:val="000000"/>
                <w:sz w:val="20"/>
              </w:rPr>
              <w:t>EMS</w:t>
            </w:r>
            <w:r>
              <w:rPr>
                <w:rFonts w:ascii="宋体" w:hAnsi="宋体"/>
                <w:b/>
                <w:color w:val="000000"/>
                <w:sz w:val="20"/>
                <w:lang w:val="en-GB"/>
              </w:rPr>
              <w:t>:</w:t>
            </w:r>
            <w:r>
              <w:rPr>
                <w:rFonts w:hint="eastAsia" w:ascii="宋体" w:hAnsi="宋体"/>
                <w:szCs w:val="21"/>
              </w:rPr>
              <w:t>发电机组的销售所涉及场所的相关环境管理活动。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b/>
                <w:color w:val="000000"/>
                <w:sz w:val="20"/>
              </w:rPr>
              <w:t>OHSMS</w:t>
            </w:r>
            <w:r>
              <w:rPr>
                <w:rFonts w:ascii="宋体" w:hAnsi="宋体"/>
                <w:b/>
                <w:color w:val="000000"/>
                <w:sz w:val="20"/>
                <w:lang w:val="en-GB"/>
              </w:rPr>
              <w:t>:</w:t>
            </w:r>
            <w:r>
              <w:rPr>
                <w:rFonts w:hint="eastAsia" w:ascii="宋体" w:hAnsi="宋体"/>
                <w:szCs w:val="21"/>
              </w:rPr>
              <w:t>发电机组的销售所涉及场所的相关职业健康安全管理活动 。</w:t>
            </w:r>
          </w:p>
          <w:p>
            <w:pPr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   询问，主要设备为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电脑及办公设备</w:t>
            </w:r>
            <w:r>
              <w:rPr>
                <w:rFonts w:hint="eastAsia" w:ascii="宋体" w:hAnsi="宋体"/>
                <w:szCs w:val="21"/>
              </w:rPr>
              <w:t>等</w:t>
            </w:r>
            <w:r>
              <w:rPr>
                <w:rFonts w:hint="eastAsia" w:ascii="宋体" w:hAnsi="宋体" w:cs="宋体"/>
                <w:kern w:val="0"/>
                <w:szCs w:val="21"/>
              </w:rPr>
              <w:t>。</w:t>
            </w:r>
          </w:p>
          <w:p>
            <w:pPr>
              <w:spacing w:line="4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关键过程：销售为关键过程。</w:t>
            </w:r>
          </w:p>
          <w:p>
            <w:pPr>
              <w:spacing w:line="40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查体系运行时间：20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szCs w:val="21"/>
              </w:rPr>
              <w:t>年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Cs w:val="21"/>
              </w:rPr>
              <w:t>月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szCs w:val="21"/>
              </w:rPr>
              <w:t>日。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组织实际与管理体系文件化信息描述基本一致。有管理层、行政</w:t>
            </w:r>
            <w:r>
              <w:rPr>
                <w:rFonts w:hint="eastAsia" w:ascii="宋体" w:hAnsi="宋体"/>
                <w:szCs w:val="21"/>
                <w:lang w:eastAsia="zh-CN"/>
              </w:rPr>
              <w:t>人事</w:t>
            </w:r>
            <w:r>
              <w:rPr>
                <w:rFonts w:hint="eastAsia" w:ascii="宋体" w:hAnsi="宋体"/>
                <w:szCs w:val="21"/>
              </w:rPr>
              <w:t>部、</w:t>
            </w:r>
            <w:r>
              <w:rPr>
                <w:rFonts w:hint="eastAsia" w:ascii="宋体" w:hAnsi="宋体"/>
                <w:szCs w:val="21"/>
                <w:lang w:eastAsia="zh-CN"/>
              </w:rPr>
              <w:t>销售部</w:t>
            </w:r>
            <w:r>
              <w:rPr>
                <w:rFonts w:hint="eastAsia" w:ascii="宋体" w:hAnsi="宋体"/>
                <w:szCs w:val="21"/>
              </w:rPr>
              <w:t>。</w:t>
            </w:r>
          </w:p>
          <w:p>
            <w:pPr>
              <w:spacing w:line="400" w:lineRule="exact"/>
              <w:ind w:firstLine="420" w:firstLineChars="200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产品流程见《作业流程》</w:t>
            </w:r>
          </w:p>
          <w:p>
            <w:pPr>
              <w:spacing w:line="440" w:lineRule="exact"/>
              <w:rPr>
                <w:rFonts w:ascii="宋体" w:hAnsi="宋体"/>
                <w:kern w:val="44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查，</w:t>
            </w:r>
            <w:r>
              <w:rPr>
                <w:rFonts w:hint="eastAsia" w:ascii="宋体" w:hAnsi="宋体"/>
                <w:szCs w:val="21"/>
              </w:rPr>
              <w:t>管理体系文件名称</w:t>
            </w:r>
            <w:r>
              <w:rPr>
                <w:rFonts w:hint="eastAsia" w:ascii="宋体" w:hAnsi="宋体"/>
                <w:color w:val="000000"/>
                <w:szCs w:val="21"/>
              </w:rPr>
              <w:t>：</w:t>
            </w:r>
            <w:r>
              <w:rPr>
                <w:rFonts w:hint="eastAsia" w:ascii="宋体" w:hAnsi="宋体"/>
                <w:kern w:val="44"/>
                <w:szCs w:val="21"/>
              </w:rPr>
              <w:t>质量</w:t>
            </w:r>
            <w:r>
              <w:rPr>
                <w:rFonts w:ascii="宋体" w:hAnsi="宋体"/>
                <w:kern w:val="44"/>
                <w:szCs w:val="21"/>
              </w:rPr>
              <w:t>手册</w:t>
            </w:r>
            <w:r>
              <w:rPr>
                <w:rFonts w:hint="eastAsia" w:ascii="宋体" w:hAnsi="宋体"/>
                <w:kern w:val="44"/>
                <w:szCs w:val="21"/>
              </w:rPr>
              <w:t>，程序文件</w:t>
            </w:r>
            <w:r>
              <w:rPr>
                <w:rFonts w:hint="eastAsia" w:ascii="宋体" w:hAnsi="宋体"/>
                <w:kern w:val="44"/>
                <w:szCs w:val="21"/>
                <w:lang w:val="en-US" w:eastAsia="zh-CN"/>
              </w:rPr>
              <w:t>31</w:t>
            </w:r>
            <w:r>
              <w:rPr>
                <w:rFonts w:hint="eastAsia" w:ascii="宋体" w:hAnsi="宋体"/>
                <w:kern w:val="44"/>
                <w:szCs w:val="21"/>
              </w:rPr>
              <w:t>个。</w:t>
            </w:r>
          </w:p>
        </w:tc>
        <w:tc>
          <w:tcPr>
            <w:tcW w:w="1004" w:type="dxa"/>
          </w:tcPr>
          <w:p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Q/E/S:</w:t>
            </w:r>
            <w:r>
              <w:rPr>
                <w:rFonts w:hint="eastAsia" w:ascii="宋体" w:hAnsi="宋体" w:cs="宋体"/>
                <w:szCs w:val="21"/>
              </w:rPr>
              <w:t>4.1;4.2;4.3;4.4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07" w:type="dxa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符合</w:t>
            </w: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3687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方针及目标、指标及方案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9625" w:type="dxa"/>
          </w:tcPr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质量、环境、职业健康安全方针：</w:t>
            </w:r>
          </w:p>
          <w:p>
            <w:pPr>
              <w:spacing w:line="276" w:lineRule="auto"/>
              <w:ind w:firstLine="420" w:firstLineChars="200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质量方针：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eastAsia="zh-CN"/>
              </w:rPr>
              <w:t>确保产品品质，追求精益求精，诚信持续发展，追求顾客满意</w:t>
            </w:r>
          </w:p>
          <w:p>
            <w:pPr>
              <w:spacing w:line="276" w:lineRule="auto"/>
              <w:ind w:firstLine="420" w:firstLineChars="200"/>
              <w:rPr>
                <w:rFonts w:hint="eastAsia" w:ascii="宋体" w:hAnsi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环境方针：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eastAsia="zh-CN"/>
              </w:rPr>
              <w:t>预防污染、节能减排、达到持续改进；</w:t>
            </w:r>
          </w:p>
          <w:p>
            <w:pPr>
              <w:spacing w:line="276" w:lineRule="auto"/>
              <w:ind w:firstLine="420" w:firstLineChars="200"/>
              <w:rPr>
                <w:rFonts w:hint="eastAsia"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安全方针：</w:t>
            </w:r>
            <w:r>
              <w:rPr>
                <w:rFonts w:hint="default" w:ascii="宋体" w:hAnsi="宋体"/>
                <w:b w:val="0"/>
                <w:bCs w:val="0"/>
                <w:sz w:val="21"/>
                <w:szCs w:val="21"/>
                <w:lang w:val="en-US" w:eastAsia="zh-CN"/>
              </w:rPr>
              <w:t xml:space="preserve">以人为本、提高素质；科学管理、持续改进。 </w:t>
            </w:r>
          </w:p>
          <w:p>
            <w:pPr>
              <w:pStyle w:val="10"/>
              <w:rPr>
                <w:rFonts w:hint="eastAsia"/>
                <w:lang w:eastAsia="zh-CN"/>
              </w:rPr>
            </w:pPr>
          </w:p>
          <w:p>
            <w:pPr>
              <w:spacing w:line="360" w:lineRule="auto"/>
              <w:ind w:firstLine="420" w:firstLineChars="200"/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质量、环境、职业健康安全目标 </w:t>
            </w:r>
          </w:p>
          <w:p>
            <w:pPr>
              <w:tabs>
                <w:tab w:val="left" w:pos="3731"/>
              </w:tabs>
              <w:adjustRightInd w:val="0"/>
              <w:snapToGrid w:val="0"/>
              <w:spacing w:line="312" w:lineRule="auto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销售产品合格率100%；</w:t>
            </w:r>
          </w:p>
          <w:p>
            <w:pPr>
              <w:tabs>
                <w:tab w:val="left" w:pos="3731"/>
              </w:tabs>
              <w:adjustRightInd w:val="0"/>
              <w:snapToGrid w:val="0"/>
              <w:spacing w:line="312" w:lineRule="auto"/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2、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顾客满意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度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≧9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0分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；</w:t>
            </w:r>
          </w:p>
          <w:p>
            <w:pPr>
              <w:tabs>
                <w:tab w:val="left" w:pos="3731"/>
              </w:tabs>
              <w:adjustRightInd w:val="0"/>
              <w:snapToGrid w:val="0"/>
              <w:spacing w:line="312" w:lineRule="auto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3、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固体废弃物回收处置率100%；</w:t>
            </w:r>
          </w:p>
          <w:p>
            <w:pPr>
              <w:tabs>
                <w:tab w:val="left" w:pos="3731"/>
              </w:tabs>
              <w:adjustRightInd w:val="0"/>
              <w:snapToGrid w:val="0"/>
              <w:spacing w:line="312" w:lineRule="auto"/>
              <w:rPr>
                <w:rFonts w:hint="default" w:ascii="宋体" w:hAnsi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4、环境污染事故发生次数为0；</w:t>
            </w:r>
          </w:p>
          <w:p>
            <w:pPr>
              <w:tabs>
                <w:tab w:val="left" w:pos="3731"/>
              </w:tabs>
              <w:adjustRightInd w:val="0"/>
              <w:snapToGrid w:val="0"/>
              <w:spacing w:line="312" w:lineRule="auto"/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5、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火灾事故发生次数为0；</w:t>
            </w:r>
          </w:p>
          <w:p>
            <w:pPr>
              <w:tabs>
                <w:tab w:val="left" w:pos="3731"/>
              </w:tabs>
              <w:adjustRightInd w:val="0"/>
              <w:snapToGrid w:val="0"/>
              <w:spacing w:line="312" w:lineRule="auto"/>
              <w:rPr>
                <w:rFonts w:hint="default" w:ascii="宋体" w:hAnsi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6、触电事故发生次数为0；</w:t>
            </w:r>
          </w:p>
          <w:p>
            <w:pPr>
              <w:tabs>
                <w:tab w:val="left" w:pos="3731"/>
              </w:tabs>
              <w:adjustRightInd w:val="0"/>
              <w:snapToGrid w:val="0"/>
              <w:spacing w:line="312" w:lineRule="auto"/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7、有责交通事故发生次数0。</w:t>
            </w:r>
          </w:p>
          <w:p>
            <w:pPr>
              <w:tabs>
                <w:tab w:val="left" w:pos="3731"/>
              </w:tabs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 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拟定有管理方案和预案。</w:t>
            </w:r>
          </w:p>
        </w:tc>
        <w:tc>
          <w:tcPr>
            <w:tcW w:w="1004" w:type="dxa"/>
          </w:tcPr>
          <w:p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Q/E/S:</w:t>
            </w:r>
            <w:r>
              <w:rPr>
                <w:rFonts w:hint="eastAsia" w:ascii="宋体" w:hAnsi="宋体" w:cs="宋体"/>
                <w:szCs w:val="21"/>
              </w:rPr>
              <w:t>5.1;6.2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7" w:type="dxa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符合</w:t>
            </w:r>
          </w:p>
        </w:tc>
      </w:tr>
    </w:tbl>
    <w:p>
      <w:pPr>
        <w:spacing w:line="480" w:lineRule="exact"/>
        <w:jc w:val="center"/>
        <w:rPr>
          <w:rFonts w:hint="eastAsia" w:ascii="隶书" w:hAnsi="宋体" w:eastAsia="隶书"/>
          <w:bCs/>
          <w:color w:val="000000"/>
          <w:sz w:val="36"/>
          <w:szCs w:val="36"/>
        </w:rPr>
      </w:pPr>
    </w:p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8"/>
        <w:tblW w:w="15101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7"/>
        <w:gridCol w:w="9636"/>
        <w:gridCol w:w="982"/>
        <w:gridCol w:w="7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tblHeader/>
        </w:trPr>
        <w:tc>
          <w:tcPr>
            <w:tcW w:w="3687" w:type="dxa"/>
            <w:shd w:val="clear" w:color="auto" w:fill="E6E6E6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审核员</w:t>
            </w:r>
          </w:p>
        </w:tc>
        <w:tc>
          <w:tcPr>
            <w:tcW w:w="11414" w:type="dxa"/>
            <w:gridSpan w:val="3"/>
            <w:shd w:val="clear" w:color="auto" w:fill="E6E6E6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tblHeader/>
        </w:trPr>
        <w:tc>
          <w:tcPr>
            <w:tcW w:w="3687" w:type="dxa"/>
            <w:shd w:val="clear" w:color="auto" w:fill="E6E6E6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检  查  表</w:t>
            </w:r>
          </w:p>
        </w:tc>
        <w:tc>
          <w:tcPr>
            <w:tcW w:w="9636" w:type="dxa"/>
            <w:shd w:val="clear" w:color="auto" w:fill="E6E6E6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  核   记   录</w:t>
            </w:r>
          </w:p>
        </w:tc>
        <w:tc>
          <w:tcPr>
            <w:tcW w:w="982" w:type="dxa"/>
            <w:shd w:val="clear" w:color="auto" w:fill="E6E6E6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标准号</w:t>
            </w:r>
          </w:p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条款号</w:t>
            </w:r>
          </w:p>
        </w:tc>
        <w:tc>
          <w:tcPr>
            <w:tcW w:w="796" w:type="dxa"/>
            <w:shd w:val="clear" w:color="auto" w:fill="E6E6E6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评估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3687" w:type="dxa"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内部审核：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不符合及整改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9636" w:type="dxa"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建立有《内部审核控制程序》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见有《内部审核计划表》 </w:t>
            </w:r>
          </w:p>
          <w:p>
            <w:pPr>
              <w:spacing w:line="400" w:lineRule="exac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内审时间：20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22</w:t>
            </w:r>
            <w:r>
              <w:rPr>
                <w:rFonts w:hint="eastAsia" w:ascii="宋体" w:hAnsi="宋体"/>
                <w:szCs w:val="21"/>
              </w:rPr>
              <w:t>日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-23日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内审组：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李晓丽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（组长）、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李志（组员）</w:t>
            </w:r>
            <w:bookmarkStart w:id="1" w:name="_GoBack"/>
            <w:bookmarkEnd w:id="1"/>
            <w:r>
              <w:rPr>
                <w:rFonts w:hint="eastAsia"/>
                <w:sz w:val="21"/>
                <w:szCs w:val="21"/>
              </w:rPr>
              <w:t>。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见有：《内审不符合项报告》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份，涉及</w:t>
            </w:r>
            <w:r>
              <w:rPr>
                <w:rFonts w:hint="eastAsia" w:ascii="宋体" w:hAnsi="宋体"/>
                <w:szCs w:val="21"/>
                <w:lang w:eastAsia="zh-CN"/>
              </w:rPr>
              <w:t>行政人事部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Q/</w:t>
            </w:r>
            <w:r>
              <w:rPr>
                <w:rFonts w:hint="eastAsia" w:ascii="宋体" w:hAnsi="宋体"/>
                <w:szCs w:val="21"/>
              </w:rPr>
              <w:t>E/S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7.5.3</w:t>
            </w:r>
            <w:r>
              <w:rPr>
                <w:rFonts w:hint="eastAsia" w:ascii="宋体" w:hAnsi="宋体"/>
                <w:szCs w:val="21"/>
              </w:rPr>
              <w:t xml:space="preserve">条款 </w:t>
            </w:r>
            <w:r>
              <w:rPr>
                <w:rFonts w:hint="eastAsia" w:ascii="宋体" w:hAnsi="宋体" w:cs="Times New Roman"/>
                <w:szCs w:val="21"/>
                <w:lang w:val="en-US" w:eastAsia="zh-CN"/>
              </w:rPr>
              <w:t>抽查文件发放记录，未查见2020年3月更新后的法律法规文件的发放记录</w:t>
            </w:r>
            <w:r>
              <w:rPr>
                <w:rFonts w:hint="eastAsia" w:ascii="宋体" w:hAnsi="宋体"/>
                <w:szCs w:val="21"/>
              </w:rPr>
              <w:t>，针对该不符合项，已及时采取纠正措施后，经内审员验证关闭。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有《内部审核报告》，有审核结论。</w:t>
            </w:r>
          </w:p>
        </w:tc>
        <w:tc>
          <w:tcPr>
            <w:tcW w:w="982" w:type="dxa"/>
          </w:tcPr>
          <w:p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Q/E/S:</w:t>
            </w:r>
            <w:r>
              <w:rPr>
                <w:rFonts w:hint="eastAsia" w:ascii="宋体" w:hAnsi="宋体" w:cs="宋体"/>
                <w:szCs w:val="21"/>
              </w:rPr>
              <w:t>9.2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6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符合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3687" w:type="dxa"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管理评审：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输入是否完整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提出的改进内容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9636" w:type="dxa"/>
            <w:vAlign w:val="top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查见《管理评审计划》、《管理评审会议记录》</w:t>
            </w:r>
          </w:p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管理评审于20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/>
                <w:szCs w:val="21"/>
              </w:rPr>
              <w:t>日由总经</w:t>
            </w:r>
            <w:r>
              <w:rPr>
                <w:rFonts w:hint="eastAsia" w:ascii="宋体" w:hAnsi="宋体"/>
                <w:sz w:val="21"/>
                <w:szCs w:val="21"/>
              </w:rPr>
              <w:t>理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李存宝</w:t>
            </w:r>
            <w:r>
              <w:rPr>
                <w:rFonts w:hint="eastAsia" w:ascii="宋体" w:hAnsi="宋体"/>
                <w:sz w:val="21"/>
                <w:szCs w:val="21"/>
              </w:rPr>
              <w:t>主持完成。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ascii="宋体" w:hAnsi="宋体"/>
                <w:kern w:val="0"/>
                <w:szCs w:val="21"/>
              </w:rPr>
            </w:pPr>
          </w:p>
          <w:p>
            <w:pPr>
              <w:adjustRightInd w:val="0"/>
              <w:spacing w:line="400" w:lineRule="exact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提供主要输入材料有：各部门总结，输入信息基本充分和满足要求。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输出见“管理评审报告”, 做出了管理体系基本适宜、充分和有效的评审结论。</w:t>
            </w:r>
          </w:p>
          <w:p>
            <w:pPr>
              <w:spacing w:line="460" w:lineRule="exact"/>
              <w:ind w:firstLine="420" w:firstLineChars="200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提出以下改进内容：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我公司三标准运行时间较短，有关人员对标准的理解不够深刻，现要求各部门领导和相关人员要进一步学习标准及管理手册，特别是质量体系的学习,严格按照体系要求办事</w:t>
            </w:r>
            <w:r>
              <w:rPr>
                <w:rFonts w:hint="eastAsia" w:ascii="宋体" w:hAnsi="宋体"/>
                <w:sz w:val="21"/>
                <w:szCs w:val="21"/>
              </w:rPr>
              <w:t>。</w:t>
            </w:r>
          </w:p>
          <w:p>
            <w:pPr>
              <w:spacing w:line="460" w:lineRule="exact"/>
              <w:rPr>
                <w:rFonts w:ascii="宋体" w:hAnsi="宋体"/>
                <w:kern w:val="0"/>
                <w:szCs w:val="21"/>
                <w:u w:val="single"/>
              </w:rPr>
            </w:pPr>
          </w:p>
        </w:tc>
        <w:tc>
          <w:tcPr>
            <w:tcW w:w="982" w:type="dxa"/>
          </w:tcPr>
          <w:p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Q/E/S:</w:t>
            </w:r>
            <w:r>
              <w:rPr>
                <w:rFonts w:hint="eastAsia" w:ascii="宋体" w:hAnsi="宋体" w:cs="宋体"/>
                <w:szCs w:val="21"/>
              </w:rPr>
              <w:t>9.3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6" w:type="dxa"/>
          </w:tcPr>
          <w:p>
            <w:pPr>
              <w:adjustRightInd w:val="0"/>
              <w:spacing w:line="400" w:lineRule="exact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符合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3687" w:type="dxa"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相关法规</w:t>
            </w:r>
          </w:p>
          <w:p>
            <w:pPr>
              <w:spacing w:line="400" w:lineRule="exact"/>
              <w:rPr>
                <w:rFonts w:ascii="宋体" w:hAnsi="宋体"/>
                <w:szCs w:val="21"/>
                <w:highlight w:val="none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  <w:highlight w:val="none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环评报告及环评验收</w:t>
            </w:r>
          </w:p>
          <w:p>
            <w:pPr>
              <w:spacing w:line="400" w:lineRule="exact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安评报告及安评验收</w:t>
            </w:r>
          </w:p>
          <w:p>
            <w:pPr>
              <w:spacing w:line="400" w:lineRule="exact"/>
              <w:rPr>
                <w:rFonts w:hint="eastAsia"/>
                <w:szCs w:val="21"/>
                <w:highlight w:val="none"/>
              </w:rPr>
            </w:pPr>
          </w:p>
          <w:p>
            <w:pPr>
              <w:spacing w:line="400" w:lineRule="exact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执行的产品标准（QMS）</w:t>
            </w:r>
          </w:p>
          <w:p>
            <w:pPr>
              <w:spacing w:line="400" w:lineRule="exact"/>
              <w:rPr>
                <w:szCs w:val="21"/>
                <w:highlight w:val="none"/>
              </w:rPr>
            </w:pPr>
          </w:p>
          <w:p>
            <w:pPr>
              <w:spacing w:line="400" w:lineRule="exact"/>
              <w:rPr>
                <w:szCs w:val="21"/>
                <w:highlight w:val="none"/>
              </w:rPr>
            </w:pPr>
          </w:p>
          <w:p>
            <w:pPr>
              <w:spacing w:line="400" w:lineRule="exact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执行的排污标准（EMS）</w:t>
            </w:r>
          </w:p>
          <w:p>
            <w:pPr>
              <w:spacing w:line="400" w:lineRule="exact"/>
              <w:rPr>
                <w:szCs w:val="21"/>
                <w:highlight w:val="none"/>
              </w:rPr>
            </w:pPr>
          </w:p>
          <w:p>
            <w:pPr>
              <w:spacing w:line="400" w:lineRule="exact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执行的安全法规（OHSMS）</w:t>
            </w:r>
          </w:p>
          <w:p>
            <w:pPr>
              <w:spacing w:line="400" w:lineRule="exact"/>
              <w:rPr>
                <w:rFonts w:hint="eastAsia"/>
                <w:szCs w:val="21"/>
                <w:highlight w:val="none"/>
              </w:rPr>
            </w:pPr>
          </w:p>
          <w:p>
            <w:pPr>
              <w:spacing w:line="400" w:lineRule="exact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 xml:space="preserve">合规性评价报告 </w:t>
            </w:r>
          </w:p>
          <w:p>
            <w:pPr>
              <w:spacing w:line="400" w:lineRule="exact"/>
              <w:rPr>
                <w:szCs w:val="21"/>
                <w:highlight w:val="none"/>
              </w:rPr>
            </w:pPr>
          </w:p>
          <w:p>
            <w:pPr>
              <w:spacing w:line="400" w:lineRule="exact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环境相关监测报告（EMS）</w:t>
            </w:r>
          </w:p>
          <w:p>
            <w:pPr>
              <w:spacing w:line="400" w:lineRule="exact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职业健康相关监测报告（OHSMS）</w:t>
            </w:r>
          </w:p>
          <w:p>
            <w:pPr>
              <w:spacing w:line="400" w:lineRule="exact"/>
              <w:rPr>
                <w:rFonts w:ascii="宋体" w:hAnsi="宋体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szCs w:val="21"/>
                <w:highlight w:val="none"/>
              </w:rPr>
              <w:t>产品质量监督抽查情况（QMS）</w:t>
            </w:r>
          </w:p>
        </w:tc>
        <w:tc>
          <w:tcPr>
            <w:tcW w:w="9636" w:type="dxa"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中华人民共和国合同法、中华人民共和国劳动法、中华人民共和国安全消防法、中华人民共和国劳动合同法、</w:t>
            </w:r>
            <w:r>
              <w:rPr>
                <w:rFonts w:ascii="宋体" w:hAnsi="宋体"/>
                <w:szCs w:val="21"/>
                <w:highlight w:val="none"/>
              </w:rPr>
              <w:t>中华人民共和国产品质量法</w:t>
            </w:r>
            <w:r>
              <w:rPr>
                <w:rFonts w:hint="eastAsia" w:ascii="宋体" w:hAnsi="宋体"/>
                <w:szCs w:val="21"/>
                <w:highlight w:val="none"/>
              </w:rPr>
              <w:t>、中华人民共和国安全生产法等</w:t>
            </w:r>
          </w:p>
          <w:p>
            <w:pPr>
              <w:spacing w:line="400" w:lineRule="exact"/>
              <w:rPr>
                <w:rFonts w:ascii="宋体" w:hAnsi="宋体"/>
                <w:szCs w:val="21"/>
                <w:highlight w:val="none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不适用</w:t>
            </w:r>
          </w:p>
          <w:p>
            <w:pPr>
              <w:spacing w:line="400" w:lineRule="exac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不适用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hd w:val="clear" w:color="auto" w:fill="FFFFFF"/>
              <w:ind w:left="0" w:firstLine="0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GB/T 4712-2008 </w:t>
            </w:r>
            <w:r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自动化柴油发电机组分级要求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、 15D202-2</w:t>
            </w:r>
            <w:r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柴油发电机组设计与安装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、合同协议等。</w:t>
            </w:r>
          </w:p>
          <w:p>
            <w:pPr>
              <w:rPr>
                <w:rFonts w:ascii="宋体" w:hAnsi="宋体"/>
                <w:szCs w:val="21"/>
                <w:highlight w:val="none"/>
              </w:rPr>
            </w:pPr>
          </w:p>
          <w:p>
            <w:pPr>
              <w:rPr>
                <w:rFonts w:ascii="宋体" w:hAnsi="宋体"/>
                <w:szCs w:val="21"/>
                <w:highlight w:val="none"/>
              </w:rPr>
            </w:pPr>
          </w:p>
          <w:p>
            <w:pPr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污水排入城镇下水道水质标准（</w:t>
            </w:r>
            <w:r>
              <w:rPr>
                <w:rFonts w:ascii="宋体" w:hAnsi="宋体"/>
                <w:szCs w:val="21"/>
                <w:highlight w:val="none"/>
              </w:rPr>
              <w:t>GB/T 31962-2015</w:t>
            </w:r>
            <w:r>
              <w:rPr>
                <w:rFonts w:hint="eastAsia" w:ascii="宋体" w:hAnsi="宋体"/>
                <w:szCs w:val="21"/>
                <w:highlight w:val="none"/>
              </w:rPr>
              <w:t>）</w:t>
            </w:r>
          </w:p>
          <w:p>
            <w:pPr>
              <w:rPr>
                <w:rFonts w:ascii="宋体" w:hAnsi="宋体"/>
                <w:szCs w:val="21"/>
                <w:highlight w:val="none"/>
              </w:rPr>
            </w:pPr>
          </w:p>
          <w:p>
            <w:pPr>
              <w:spacing w:line="400" w:lineRule="exact"/>
              <w:rPr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中华人民共和国安全消防法、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中华人民共和国劳动合同法、</w:t>
            </w:r>
            <w:r>
              <w:rPr>
                <w:rFonts w:hint="eastAsia" w:ascii="宋体" w:hAnsi="宋体" w:cs="宋体"/>
                <w:color w:val="000000"/>
                <w:szCs w:val="21"/>
                <w:highlight w:val="none"/>
              </w:rPr>
              <w:t>中华人民共和国安全生产法等</w:t>
            </w:r>
          </w:p>
          <w:p>
            <w:pPr>
              <w:spacing w:line="400" w:lineRule="exact"/>
              <w:rPr>
                <w:szCs w:val="21"/>
                <w:highlight w:val="none"/>
              </w:rPr>
            </w:pPr>
          </w:p>
          <w:p>
            <w:pPr>
              <w:spacing w:line="400" w:lineRule="exact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20</w:t>
            </w:r>
            <w:r>
              <w:rPr>
                <w:rFonts w:hint="eastAsia"/>
                <w:szCs w:val="21"/>
                <w:highlight w:val="none"/>
                <w:lang w:val="en-US" w:eastAsia="zh-CN"/>
              </w:rPr>
              <w:t>20</w:t>
            </w:r>
            <w:r>
              <w:rPr>
                <w:rFonts w:hint="eastAsia"/>
                <w:szCs w:val="21"/>
                <w:highlight w:val="none"/>
              </w:rPr>
              <w:t>年</w:t>
            </w:r>
            <w:r>
              <w:rPr>
                <w:rFonts w:hint="eastAsia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/>
                <w:szCs w:val="21"/>
                <w:highlight w:val="none"/>
              </w:rPr>
              <w:t>月</w:t>
            </w:r>
            <w:r>
              <w:rPr>
                <w:rFonts w:hint="eastAsia"/>
                <w:szCs w:val="21"/>
                <w:highlight w:val="none"/>
                <w:lang w:val="en-US" w:eastAsia="zh-CN"/>
              </w:rPr>
              <w:t>14</w:t>
            </w:r>
            <w:r>
              <w:rPr>
                <w:rFonts w:hint="eastAsia"/>
                <w:szCs w:val="21"/>
                <w:highlight w:val="none"/>
              </w:rPr>
              <w:t>日进行了合规性评价</w:t>
            </w:r>
          </w:p>
          <w:p>
            <w:pPr>
              <w:spacing w:line="400" w:lineRule="exact"/>
              <w:rPr>
                <w:szCs w:val="21"/>
                <w:highlight w:val="none"/>
              </w:rPr>
            </w:pPr>
          </w:p>
          <w:p>
            <w:pPr>
              <w:spacing w:line="400" w:lineRule="exact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无</w:t>
            </w:r>
          </w:p>
          <w:p>
            <w:pPr>
              <w:spacing w:line="400" w:lineRule="exact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无</w:t>
            </w:r>
          </w:p>
          <w:p>
            <w:pPr>
              <w:spacing w:line="400" w:lineRule="exact"/>
              <w:rPr>
                <w:rFonts w:ascii="宋体" w:hAnsi="宋体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szCs w:val="21"/>
                <w:highlight w:val="none"/>
              </w:rPr>
              <w:t>无质量监督抽查。</w:t>
            </w:r>
          </w:p>
        </w:tc>
        <w:tc>
          <w:tcPr>
            <w:tcW w:w="982" w:type="dxa"/>
            <w:vAlign w:val="top"/>
          </w:tcPr>
          <w:p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Q/E/S:6.1.3、9.1.2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96" w:type="dxa"/>
            <w:vAlign w:val="top"/>
          </w:tcPr>
          <w:p>
            <w:pPr>
              <w:spacing w:line="400" w:lineRule="exact"/>
            </w:pPr>
            <w:r>
              <w:rPr>
                <w:rFonts w:hint="eastAsia"/>
              </w:rPr>
              <w:t>符合</w:t>
            </w:r>
          </w:p>
          <w:p>
            <w:pPr>
              <w:spacing w:line="440" w:lineRule="exact"/>
              <w:jc w:val="center"/>
            </w:pPr>
          </w:p>
          <w:p>
            <w:pPr>
              <w:spacing w:line="440" w:lineRule="exact"/>
              <w:jc w:val="center"/>
            </w:pPr>
          </w:p>
          <w:p>
            <w:pPr>
              <w:spacing w:line="440" w:lineRule="exact"/>
              <w:jc w:val="center"/>
            </w:pPr>
          </w:p>
          <w:p>
            <w:pPr>
              <w:spacing w:line="440" w:lineRule="exact"/>
              <w:jc w:val="center"/>
            </w:pPr>
          </w:p>
          <w:p>
            <w:pPr>
              <w:spacing w:line="440" w:lineRule="exact"/>
              <w:jc w:val="center"/>
            </w:pPr>
          </w:p>
          <w:p>
            <w:pPr>
              <w:spacing w:line="440" w:lineRule="exact"/>
              <w:rPr>
                <w:lang w:val="en-US" w:eastAsia="zh-CN"/>
              </w:rPr>
            </w:pPr>
          </w:p>
          <w:p>
            <w:pPr>
              <w:pStyle w:val="2"/>
              <w:rPr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3687" w:type="dxa"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工艺流程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不适用条款的确认</w:t>
            </w: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外包的识别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重要环境因素（EMS）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不可接受风险（OHSMS）</w:t>
            </w:r>
          </w:p>
          <w:p>
            <w:pPr>
              <w:spacing w:line="400" w:lineRule="exac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应急管理</w:t>
            </w:r>
          </w:p>
        </w:tc>
        <w:tc>
          <w:tcPr>
            <w:tcW w:w="9636" w:type="dxa"/>
            <w:vAlign w:val="top"/>
          </w:tcPr>
          <w:p>
            <w:pPr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销售</w:t>
            </w:r>
            <w:r>
              <w:rPr>
                <w:rFonts w:hint="eastAsia" w:ascii="宋体" w:hAnsi="宋体"/>
                <w:szCs w:val="21"/>
                <w:highlight w:val="none"/>
                <w:lang w:eastAsia="zh-CN"/>
              </w:rPr>
              <w:t>流程</w:t>
            </w:r>
            <w:r>
              <w:rPr>
                <w:rFonts w:hint="eastAsia" w:ascii="宋体" w:hAnsi="宋体"/>
                <w:szCs w:val="21"/>
                <w:highlight w:val="none"/>
              </w:rPr>
              <w:t>：</w:t>
            </w:r>
          </w:p>
          <w:p>
            <w:pPr>
              <w:rPr>
                <w:rFonts w:hint="eastAsia" w:ascii="宋体" w:hAnsi="宋体" w:cs="Times New Roman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Times New Roman"/>
                <w:szCs w:val="21"/>
                <w:highlight w:val="none"/>
                <w:lang w:eastAsia="zh-CN"/>
              </w:rPr>
              <w:t>签订合同→实施采购→发货→客户签收。</w:t>
            </w:r>
          </w:p>
          <w:p>
            <w:pPr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需确认过程：销售过程</w:t>
            </w:r>
            <w:r>
              <w:rPr>
                <w:rFonts w:hint="eastAsia" w:ascii="宋体" w:hAnsi="宋体" w:cs="宋体"/>
                <w:szCs w:val="21"/>
                <w:highlight w:val="none"/>
                <w:lang w:eastAsia="zh-CN"/>
              </w:rPr>
              <w:t>，也是关键过程。</w:t>
            </w:r>
          </w:p>
          <w:p>
            <w:pPr>
              <w:tabs>
                <w:tab w:val="left" w:pos="1080"/>
              </w:tabs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1080"/>
              </w:tabs>
              <w:spacing w:line="400" w:lineRule="exact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Q8.3条款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 w:val="21"/>
                <w:szCs w:val="21"/>
              </w:rPr>
              <w:t>公司范围为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发电机组的销售。</w:t>
            </w:r>
            <w:r>
              <w:rPr>
                <w:rFonts w:hint="eastAsia" w:ascii="宋体" w:hAnsi="宋体"/>
                <w:sz w:val="21"/>
                <w:szCs w:val="21"/>
              </w:rPr>
              <w:t>公司销售模式采用以往成熟的营销模式，未有新的营销模式。公司销售过程不涉及设计和开发，也不承担设计和开发的责任</w:t>
            </w: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。</w:t>
            </w:r>
          </w:p>
          <w:p>
            <w:pPr>
              <w:tabs>
                <w:tab w:val="left" w:pos="1080"/>
              </w:tabs>
              <w:spacing w:line="400" w:lineRule="exact"/>
              <w:rPr>
                <w:rFonts w:hint="eastAsia" w:ascii="宋体" w:hAnsi="宋体"/>
                <w:szCs w:val="21"/>
              </w:rPr>
            </w:pPr>
          </w:p>
          <w:p>
            <w:pPr>
              <w:tabs>
                <w:tab w:val="left" w:pos="1080"/>
              </w:tabs>
              <w:spacing w:line="400" w:lineRule="exac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无</w:t>
            </w:r>
          </w:p>
          <w:p>
            <w:pPr>
              <w:tabs>
                <w:tab w:val="left" w:pos="1080"/>
              </w:tabs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潜在火灾、固废排放。</w:t>
            </w:r>
          </w:p>
          <w:p>
            <w:pPr>
              <w:tabs>
                <w:tab w:val="left" w:pos="1080"/>
              </w:tabs>
              <w:spacing w:line="400" w:lineRule="exact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火灾、触电</w:t>
            </w:r>
            <w:r>
              <w:rPr>
                <w:rFonts w:hint="eastAsia" w:ascii="宋体" w:hAnsi="宋体"/>
                <w:szCs w:val="21"/>
                <w:lang w:eastAsia="zh-CN"/>
              </w:rPr>
              <w:t>、交通意外伤害</w:t>
            </w:r>
            <w:r>
              <w:rPr>
                <w:rFonts w:hint="eastAsia" w:ascii="宋体" w:hAnsi="宋体"/>
                <w:color w:val="FF0000"/>
                <w:szCs w:val="21"/>
              </w:rPr>
              <w:t>。</w:t>
            </w:r>
          </w:p>
          <w:p>
            <w:pPr>
              <w:tabs>
                <w:tab w:val="left" w:pos="1080"/>
              </w:tabs>
              <w:spacing w:line="400" w:lineRule="exact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公司拟定有《火灾、触电应急预案》，</w:t>
            </w:r>
            <w:r>
              <w:rPr>
                <w:rFonts w:hint="eastAsia" w:ascii="宋体" w:hAnsi="宋体"/>
                <w:szCs w:val="21"/>
                <w:highlight w:val="none"/>
              </w:rPr>
              <w:t>20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/>
                <w:szCs w:val="21"/>
                <w:highlight w:val="none"/>
              </w:rPr>
              <w:t>年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/>
                <w:szCs w:val="21"/>
                <w:highlight w:val="none"/>
              </w:rPr>
              <w:t>月2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/>
                <w:szCs w:val="21"/>
                <w:highlight w:val="none"/>
              </w:rPr>
              <w:t>日进行了消防演习演习。</w:t>
            </w:r>
          </w:p>
        </w:tc>
        <w:tc>
          <w:tcPr>
            <w:tcW w:w="982" w:type="dxa"/>
            <w:vAlign w:val="top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Q/E/S:8.1、8.2;</w:t>
            </w:r>
          </w:p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E/S;6.1.2;</w:t>
            </w:r>
          </w:p>
          <w:p>
            <w:pPr>
              <w:adjustRightInd w:val="0"/>
              <w:snapToGrid w:val="0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Q8.3</w:t>
            </w:r>
          </w:p>
        </w:tc>
        <w:tc>
          <w:tcPr>
            <w:tcW w:w="796" w:type="dxa"/>
            <w:vAlign w:val="top"/>
          </w:tcPr>
          <w:p>
            <w:pPr>
              <w:tabs>
                <w:tab w:val="left" w:pos="1080"/>
              </w:tabs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符合</w:t>
            </w:r>
          </w:p>
          <w:p>
            <w:pPr>
              <w:spacing w:line="44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3687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设计开发产品或项目名称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主要原材料</w:t>
            </w:r>
          </w:p>
        </w:tc>
        <w:tc>
          <w:tcPr>
            <w:tcW w:w="9636" w:type="dxa"/>
          </w:tcPr>
          <w:p>
            <w:pPr>
              <w:spacing w:line="40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无</w:t>
            </w:r>
          </w:p>
          <w:p>
            <w:pPr>
              <w:spacing w:line="400" w:lineRule="exact"/>
            </w:pPr>
            <w:r>
              <w:rPr>
                <w:rFonts w:hint="eastAsia"/>
              </w:rPr>
              <w:t>办公</w:t>
            </w:r>
            <w:r>
              <w:rPr>
                <w:rFonts w:hint="eastAsia"/>
                <w:lang w:eastAsia="zh-CN"/>
              </w:rPr>
              <w:t>用品、</w:t>
            </w:r>
            <w:r>
              <w:rPr>
                <w:rFonts w:hint="eastAsia"/>
              </w:rPr>
              <w:t>辅料等。</w:t>
            </w:r>
          </w:p>
        </w:tc>
        <w:tc>
          <w:tcPr>
            <w:tcW w:w="982" w:type="dxa"/>
            <w:vAlign w:val="top"/>
          </w:tcPr>
          <w:p>
            <w:pPr>
              <w:spacing w:line="440" w:lineRule="exact"/>
              <w:jc w:val="left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Q8.3</w:t>
            </w:r>
          </w:p>
        </w:tc>
        <w:tc>
          <w:tcPr>
            <w:tcW w:w="796" w:type="dxa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符合</w:t>
            </w:r>
          </w:p>
          <w:p>
            <w:pPr>
              <w:spacing w:line="44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8" w:hRule="atLeast"/>
        </w:trPr>
        <w:tc>
          <w:tcPr>
            <w:tcW w:w="3687" w:type="dxa"/>
          </w:tcPr>
          <w:p>
            <w:pPr>
              <w:spacing w:line="400" w:lineRule="exact"/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  <w:u w:val="single"/>
              </w:rPr>
              <w:t>员工人数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关键岗位持证上岗人员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特殊工种人员</w:t>
            </w:r>
          </w:p>
        </w:tc>
        <w:tc>
          <w:tcPr>
            <w:tcW w:w="9636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szCs w:val="21"/>
              </w:rPr>
              <w:t>人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销售人员。</w:t>
            </w:r>
          </w:p>
          <w:p>
            <w:pPr>
              <w:spacing w:line="400" w:lineRule="exact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无</w:t>
            </w:r>
          </w:p>
        </w:tc>
        <w:tc>
          <w:tcPr>
            <w:tcW w:w="982" w:type="dxa"/>
            <w:vAlign w:val="top"/>
          </w:tcPr>
          <w:p>
            <w:pPr>
              <w:spacing w:line="440" w:lineRule="exact"/>
              <w:jc w:val="left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Q/E/S:7.2</w:t>
            </w:r>
          </w:p>
        </w:tc>
        <w:tc>
          <w:tcPr>
            <w:tcW w:w="796" w:type="dxa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符合</w:t>
            </w:r>
          </w:p>
          <w:p>
            <w:pPr>
              <w:spacing w:line="44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687" w:type="dxa"/>
          </w:tcPr>
          <w:p>
            <w:pPr>
              <w:spacing w:line="400" w:lineRule="exact"/>
              <w:rPr>
                <w:rFonts w:hint="eastAsia"/>
              </w:rPr>
            </w:pPr>
            <w:r>
              <w:rPr>
                <w:rFonts w:hint="eastAsia" w:ascii="宋体" w:hAnsi="宋体"/>
                <w:szCs w:val="21"/>
              </w:rPr>
              <w:t>主要生产设备</w:t>
            </w:r>
          </w:p>
          <w:p>
            <w:pPr>
              <w:pStyle w:val="10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  <w:p>
            <w:pPr>
              <w:pStyle w:val="10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库房</w:t>
            </w:r>
          </w:p>
          <w:p>
            <w:pPr>
              <w:spacing w:line="400" w:lineRule="exact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特种设备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环保设施（EMS）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安全设施（OHSMS）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主要检测设备及设备的检定/校准（QMS）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环保监测设备（EMS）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安全监测设备（OHSMS）</w:t>
            </w:r>
          </w:p>
        </w:tc>
        <w:tc>
          <w:tcPr>
            <w:tcW w:w="9636" w:type="dxa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小汽车、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电脑及办公设备</w:t>
            </w:r>
            <w:r>
              <w:rPr>
                <w:rFonts w:hint="eastAsia" w:ascii="宋体" w:hAnsi="宋体"/>
                <w:szCs w:val="21"/>
              </w:rPr>
              <w:t>等。</w:t>
            </w:r>
          </w:p>
          <w:p>
            <w:pPr>
              <w:spacing w:line="400" w:lineRule="exact"/>
              <w:rPr>
                <w:rFonts w:hint="eastAsia" w:ascii="宋体" w:hAnsi="宋体"/>
                <w:szCs w:val="21"/>
                <w:highlight w:val="none"/>
                <w:lang w:eastAsia="zh-CN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szCs w:val="21"/>
                <w:highlight w:val="none"/>
                <w:lang w:eastAsia="zh-CN"/>
              </w:rPr>
              <w:t>无库房，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设有样品展览室一间面积大约有50平方米。</w:t>
            </w: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公司采取开票销售的方式进行，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eastAsia="zh-CN"/>
              </w:rPr>
              <w:t>销售商品由供应商</w:t>
            </w: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直接交付到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eastAsia="zh-CN"/>
              </w:rPr>
              <w:t>顾客</w:t>
            </w: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，未设置库房等周转环节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eastAsia="zh-CN"/>
              </w:rPr>
              <w:t>。</w:t>
            </w:r>
          </w:p>
          <w:p>
            <w:pPr>
              <w:spacing w:line="400" w:lineRule="exac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无</w:t>
            </w:r>
          </w:p>
          <w:p>
            <w:pPr>
              <w:spacing w:line="400" w:lineRule="exact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消防栓、灭火器</w:t>
            </w:r>
          </w:p>
          <w:p>
            <w:pPr>
              <w:spacing w:line="400" w:lineRule="exact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配电箱、空开</w:t>
            </w:r>
          </w:p>
          <w:p>
            <w:pPr>
              <w:spacing w:line="400" w:lineRule="exact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无，采取以供方出具的产品检测报告为验收依据，进行核验，最终产品质量由顾客确认，暂未配置检测设备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。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无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无</w:t>
            </w:r>
          </w:p>
        </w:tc>
        <w:tc>
          <w:tcPr>
            <w:tcW w:w="982" w:type="dxa"/>
            <w:vAlign w:val="top"/>
          </w:tcPr>
          <w:p>
            <w:pPr>
              <w:spacing w:line="4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Q/E/S:7.1</w:t>
            </w:r>
          </w:p>
          <w:p>
            <w:pPr>
              <w:spacing w:line="440" w:lineRule="exact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Q7.1.3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96" w:type="dxa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符合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3687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周边环境（EMS）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场区布局（一级风险）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排污口及排污管网（一级风险）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关注动力装置场所、危险化学品仓库、固废堆放场所</w:t>
            </w:r>
          </w:p>
        </w:tc>
        <w:tc>
          <w:tcPr>
            <w:tcW w:w="9636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在机电市场</w:t>
            </w:r>
            <w:r>
              <w:rPr>
                <w:rFonts w:hint="eastAsia" w:ascii="宋体" w:hAnsi="宋体"/>
                <w:szCs w:val="21"/>
              </w:rPr>
              <w:t>内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982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6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687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顾客及相关方投诉</w:t>
            </w:r>
          </w:p>
        </w:tc>
        <w:tc>
          <w:tcPr>
            <w:tcW w:w="9636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暂无</w:t>
            </w:r>
          </w:p>
        </w:tc>
        <w:tc>
          <w:tcPr>
            <w:tcW w:w="982" w:type="dxa"/>
            <w:vAlign w:val="top"/>
          </w:tcPr>
          <w:p>
            <w:pPr>
              <w:spacing w:line="440" w:lineRule="exact"/>
              <w:jc w:val="left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Q/E/S:10.2</w:t>
            </w:r>
          </w:p>
        </w:tc>
        <w:tc>
          <w:tcPr>
            <w:tcW w:w="796" w:type="dxa"/>
            <w:vAlign w:val="top"/>
          </w:tcPr>
          <w:p>
            <w:pPr>
              <w:spacing w:line="44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3687" w:type="dxa"/>
            <w:vAlign w:val="top"/>
          </w:tcPr>
          <w:p>
            <w:pPr>
              <w:adjustRightInd w:val="0"/>
              <w:spacing w:line="400" w:lineRule="exact"/>
              <w:textAlignment w:val="baseline"/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  <w:t>是否具备二阶段审核结论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adjustRightInd w:val="0"/>
              <w:spacing w:line="400" w:lineRule="exact"/>
              <w:textAlignment w:val="baseline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  <w:t>第二阶段重要审核点等相关内容</w:t>
            </w:r>
          </w:p>
        </w:tc>
        <w:tc>
          <w:tcPr>
            <w:tcW w:w="9636" w:type="dxa"/>
            <w:vAlign w:val="top"/>
          </w:tcPr>
          <w:p>
            <w:pPr>
              <w:adjustRightInd w:val="0"/>
              <w:snapToGrid w:val="0"/>
              <w:rPr>
                <w:rFonts w:hint="eastAsia" w:ascii="宋体" w:hAnsi="宋体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Cs w:val="21"/>
                <w:highlight w:val="none"/>
                <w:lang w:val="en-US" w:eastAsia="zh-CN"/>
              </w:rPr>
              <w:t>通过一阶段对受审核方的管理、办公现场巡视和观察，对管理体系绩效要求有重大影响的过程、活动、场所和现场运行进行观察、巡视及总体性评价，组织具备二阶段审核条件，可进行二阶段审核。</w:t>
            </w:r>
          </w:p>
          <w:p>
            <w:pPr>
              <w:adjustRightInd w:val="0"/>
              <w:snapToGrid w:val="0"/>
              <w:rPr>
                <w:rFonts w:hint="eastAsia" w:ascii="宋体" w:hAnsi="宋体" w:cs="Times New Roman"/>
                <w:color w:val="auto"/>
                <w:szCs w:val="21"/>
                <w:highlight w:val="none"/>
                <w:lang w:val="en-US" w:eastAsia="zh-CN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Cs w:val="21"/>
                <w:highlight w:val="none"/>
                <w:lang w:val="en-US" w:eastAsia="zh-CN"/>
              </w:rPr>
              <w:t>二阶段质量管理体系宜重点关注（合同评审、采购控制、销售服务等）</w:t>
            </w:r>
          </w:p>
          <w:p>
            <w:pPr>
              <w:adjustRightInd w:val="0"/>
              <w:snapToGrid w:val="0"/>
              <w:rPr>
                <w:rFonts w:hint="eastAsia" w:ascii="宋体" w:hAnsi="宋体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Cs w:val="21"/>
                <w:highlight w:val="none"/>
                <w:lang w:val="en-US" w:eastAsia="zh-CN"/>
              </w:rPr>
              <w:t>重点审核部门：销售部、行政人事部</w:t>
            </w:r>
          </w:p>
          <w:p>
            <w:pPr>
              <w:adjustRightInd w:val="0"/>
              <w:snapToGrid w:val="0"/>
              <w:rPr>
                <w:rFonts w:hint="eastAsia" w:ascii="宋体" w:hAnsi="宋体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Cs w:val="21"/>
                <w:highlight w:val="none"/>
                <w:lang w:val="en-US" w:eastAsia="zh-CN"/>
              </w:rPr>
              <w:t>重点审核过程：产品销售和服务提供控制、顾客满意；产品和服务放行、不合格产品控制等。</w:t>
            </w:r>
          </w:p>
          <w:p>
            <w:pPr>
              <w:adjustRightInd w:val="0"/>
              <w:snapToGrid w:val="0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auto"/>
                <w:szCs w:val="21"/>
                <w:highlight w:val="none"/>
                <w:lang w:val="en-US" w:eastAsia="zh-CN"/>
              </w:rPr>
              <w:t>重点审核场所：办公场所。</w:t>
            </w:r>
          </w:p>
        </w:tc>
        <w:tc>
          <w:tcPr>
            <w:tcW w:w="982" w:type="dxa"/>
            <w:vAlign w:val="top"/>
          </w:tcPr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</w:p>
        </w:tc>
        <w:tc>
          <w:tcPr>
            <w:tcW w:w="796" w:type="dxa"/>
            <w:vAlign w:val="top"/>
          </w:tcPr>
          <w:p>
            <w:pPr>
              <w:spacing w:line="44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>
      <w:r>
        <w:rPr>
          <w:rFonts w:hint="eastAsia"/>
        </w:rPr>
        <w:t>说明：不符合标注N</w:t>
      </w:r>
    </w:p>
    <w:p>
      <w:pPr>
        <w:spacing w:line="480" w:lineRule="exact"/>
        <w:jc w:val="center"/>
        <w:rPr>
          <w:rFonts w:hint="eastAsia" w:ascii="隶书" w:hAnsi="宋体" w:eastAsia="隶书"/>
          <w:bCs/>
          <w:color w:val="000000"/>
          <w:sz w:val="36"/>
          <w:szCs w:val="36"/>
        </w:rPr>
      </w:pPr>
    </w:p>
    <w:p>
      <w:pPr>
        <w:spacing w:line="480" w:lineRule="exact"/>
        <w:jc w:val="center"/>
        <w:rPr>
          <w:rFonts w:hint="eastAsia" w:ascii="隶书" w:hAnsi="宋体" w:eastAsia="隶书"/>
          <w:bCs/>
          <w:color w:val="000000"/>
          <w:sz w:val="36"/>
          <w:szCs w:val="36"/>
        </w:rPr>
      </w:pPr>
    </w:p>
    <w:p>
      <w:pPr>
        <w:spacing w:line="480" w:lineRule="exact"/>
        <w:jc w:val="center"/>
        <w:rPr>
          <w:rFonts w:hint="eastAsia" w:ascii="隶书" w:hAnsi="宋体" w:eastAsia="隶书"/>
          <w:bCs/>
          <w:color w:val="000000"/>
          <w:sz w:val="36"/>
          <w:szCs w:val="36"/>
        </w:rPr>
      </w:pPr>
    </w:p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</w:p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</w:p>
    <w:p>
      <w:r>
        <w:ptab w:relativeTo="margin" w:alignment="center" w:leader="none"/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6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4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4"/>
        <w:rFonts w:hint="default"/>
      </w:rPr>
      <w:t>北京国标联合认证有限公司</w:t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</w:p>
  <w:p>
    <w:pPr>
      <w:pStyle w:val="7"/>
      <w:pBdr>
        <w:bottom w:val="none" w:color="auto" w:sz="0" w:space="1"/>
      </w:pBdr>
      <w:spacing w:line="320" w:lineRule="exact"/>
      <w:ind w:firstLine="720" w:firstLineChars="400"/>
      <w:jc w:val="left"/>
    </w:pPr>
    <w:r>
      <w:pict>
        <v:shape id="文本框 1" o:spid="_x0000_s4097" o:spt="202" type="#_x0000_t202" style="position:absolute;left:0pt;margin-left:554.75pt;margin-top:2.2pt;height:20.2pt;width:172pt;z-index:251661312;mso-width-relative:page;mso-height-relative:page;" stroked="f" coordsize="21600,21600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管理体系审核记录表(03版)</w:t>
                </w:r>
              </w:p>
            </w:txbxContent>
          </v:textbox>
        </v:shape>
      </w:pict>
    </w:r>
    <w:r>
      <w:rPr>
        <w:rStyle w:val="14"/>
        <w:rFonts w:hint="default"/>
        <w:w w:val="90"/>
      </w:rPr>
      <w:t>Beijing International Standard united Certification Co.,Ltd.</w:t>
    </w:r>
  </w:p>
  <w:p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973B4"/>
    <w:rsid w:val="00026E21"/>
    <w:rsid w:val="0003373A"/>
    <w:rsid w:val="0003666F"/>
    <w:rsid w:val="00077182"/>
    <w:rsid w:val="00084386"/>
    <w:rsid w:val="000B1F50"/>
    <w:rsid w:val="000C0711"/>
    <w:rsid w:val="00105A91"/>
    <w:rsid w:val="001A2D7F"/>
    <w:rsid w:val="001F5FC8"/>
    <w:rsid w:val="002B6B8C"/>
    <w:rsid w:val="00301ADF"/>
    <w:rsid w:val="00337922"/>
    <w:rsid w:val="00340867"/>
    <w:rsid w:val="00380837"/>
    <w:rsid w:val="0039337B"/>
    <w:rsid w:val="003B2665"/>
    <w:rsid w:val="003C6DA1"/>
    <w:rsid w:val="003D0050"/>
    <w:rsid w:val="003F3AF2"/>
    <w:rsid w:val="00405E02"/>
    <w:rsid w:val="00407627"/>
    <w:rsid w:val="00410914"/>
    <w:rsid w:val="004814B4"/>
    <w:rsid w:val="004E2167"/>
    <w:rsid w:val="00536930"/>
    <w:rsid w:val="00564E53"/>
    <w:rsid w:val="00590B18"/>
    <w:rsid w:val="005F08EC"/>
    <w:rsid w:val="00603BE2"/>
    <w:rsid w:val="00624BCF"/>
    <w:rsid w:val="00631E3F"/>
    <w:rsid w:val="00644FE2"/>
    <w:rsid w:val="0067640C"/>
    <w:rsid w:val="006776F7"/>
    <w:rsid w:val="00691D38"/>
    <w:rsid w:val="006E678B"/>
    <w:rsid w:val="006F08B1"/>
    <w:rsid w:val="007345CC"/>
    <w:rsid w:val="0075447B"/>
    <w:rsid w:val="007757F3"/>
    <w:rsid w:val="007851D6"/>
    <w:rsid w:val="007D1240"/>
    <w:rsid w:val="007E6AEB"/>
    <w:rsid w:val="00824194"/>
    <w:rsid w:val="00871C15"/>
    <w:rsid w:val="008973EE"/>
    <w:rsid w:val="008C7D6A"/>
    <w:rsid w:val="008D6159"/>
    <w:rsid w:val="00962F40"/>
    <w:rsid w:val="00971600"/>
    <w:rsid w:val="009973B4"/>
    <w:rsid w:val="009F7EED"/>
    <w:rsid w:val="00A608A8"/>
    <w:rsid w:val="00AA60F8"/>
    <w:rsid w:val="00AC3A96"/>
    <w:rsid w:val="00AF0AAB"/>
    <w:rsid w:val="00B258C1"/>
    <w:rsid w:val="00B2778C"/>
    <w:rsid w:val="00B40DF4"/>
    <w:rsid w:val="00B46436"/>
    <w:rsid w:val="00BA70EA"/>
    <w:rsid w:val="00BC384E"/>
    <w:rsid w:val="00BF597E"/>
    <w:rsid w:val="00C51A36"/>
    <w:rsid w:val="00C55228"/>
    <w:rsid w:val="00CA45E2"/>
    <w:rsid w:val="00CE315A"/>
    <w:rsid w:val="00D06F59"/>
    <w:rsid w:val="00D8388C"/>
    <w:rsid w:val="00D93A54"/>
    <w:rsid w:val="00E250F2"/>
    <w:rsid w:val="00E30B07"/>
    <w:rsid w:val="00E74966"/>
    <w:rsid w:val="00EB0164"/>
    <w:rsid w:val="00ED0F62"/>
    <w:rsid w:val="00F71ED3"/>
    <w:rsid w:val="00F86205"/>
    <w:rsid w:val="00F92A10"/>
    <w:rsid w:val="00FD77A8"/>
    <w:rsid w:val="011918D5"/>
    <w:rsid w:val="01FD2F8F"/>
    <w:rsid w:val="02914DB0"/>
    <w:rsid w:val="02FE79AF"/>
    <w:rsid w:val="03007B7B"/>
    <w:rsid w:val="05110358"/>
    <w:rsid w:val="058B52B7"/>
    <w:rsid w:val="078F5BE9"/>
    <w:rsid w:val="08A46BAD"/>
    <w:rsid w:val="09B92F09"/>
    <w:rsid w:val="09F945D6"/>
    <w:rsid w:val="0A2E4B70"/>
    <w:rsid w:val="0A913774"/>
    <w:rsid w:val="0AA54F4C"/>
    <w:rsid w:val="0CE24FBA"/>
    <w:rsid w:val="0CF13D82"/>
    <w:rsid w:val="0D0A51CF"/>
    <w:rsid w:val="0D1C33EC"/>
    <w:rsid w:val="0D714F8D"/>
    <w:rsid w:val="0E25209A"/>
    <w:rsid w:val="0E4038B6"/>
    <w:rsid w:val="0F083958"/>
    <w:rsid w:val="0FE61F0E"/>
    <w:rsid w:val="10584347"/>
    <w:rsid w:val="108219C2"/>
    <w:rsid w:val="10B15952"/>
    <w:rsid w:val="10BA3FA3"/>
    <w:rsid w:val="11D90A0D"/>
    <w:rsid w:val="132D5537"/>
    <w:rsid w:val="13F86CC6"/>
    <w:rsid w:val="14DB0526"/>
    <w:rsid w:val="16F502B5"/>
    <w:rsid w:val="173A44ED"/>
    <w:rsid w:val="178763DE"/>
    <w:rsid w:val="188A5B45"/>
    <w:rsid w:val="18F3496B"/>
    <w:rsid w:val="19C315EE"/>
    <w:rsid w:val="1A3165D0"/>
    <w:rsid w:val="1A7412E6"/>
    <w:rsid w:val="1ADB1E14"/>
    <w:rsid w:val="1B0A383C"/>
    <w:rsid w:val="1B883AC7"/>
    <w:rsid w:val="1BF94737"/>
    <w:rsid w:val="1C74135E"/>
    <w:rsid w:val="1C9555C2"/>
    <w:rsid w:val="1D5C04E8"/>
    <w:rsid w:val="1EA13EDA"/>
    <w:rsid w:val="1F420E47"/>
    <w:rsid w:val="20205300"/>
    <w:rsid w:val="20741E17"/>
    <w:rsid w:val="22182E2B"/>
    <w:rsid w:val="22873E91"/>
    <w:rsid w:val="22880FC5"/>
    <w:rsid w:val="23CF173A"/>
    <w:rsid w:val="247567D5"/>
    <w:rsid w:val="2699614F"/>
    <w:rsid w:val="27845C79"/>
    <w:rsid w:val="284A3DE3"/>
    <w:rsid w:val="285C040E"/>
    <w:rsid w:val="288A6EBF"/>
    <w:rsid w:val="2A1B1879"/>
    <w:rsid w:val="2A38673C"/>
    <w:rsid w:val="2AE23791"/>
    <w:rsid w:val="2D453746"/>
    <w:rsid w:val="2D89725D"/>
    <w:rsid w:val="2E337362"/>
    <w:rsid w:val="2E3A6851"/>
    <w:rsid w:val="2E6507FB"/>
    <w:rsid w:val="2E8F3862"/>
    <w:rsid w:val="2ECF72A4"/>
    <w:rsid w:val="2EF57FB6"/>
    <w:rsid w:val="2F09530F"/>
    <w:rsid w:val="31D15F9B"/>
    <w:rsid w:val="3244365E"/>
    <w:rsid w:val="32AF550F"/>
    <w:rsid w:val="32E72F3A"/>
    <w:rsid w:val="32F340D2"/>
    <w:rsid w:val="33E514FD"/>
    <w:rsid w:val="33EE5BC9"/>
    <w:rsid w:val="34071B60"/>
    <w:rsid w:val="341B55D8"/>
    <w:rsid w:val="346041F3"/>
    <w:rsid w:val="348A1928"/>
    <w:rsid w:val="34B3178E"/>
    <w:rsid w:val="34FB51F4"/>
    <w:rsid w:val="350E46E6"/>
    <w:rsid w:val="35424DD4"/>
    <w:rsid w:val="35B4109E"/>
    <w:rsid w:val="36513486"/>
    <w:rsid w:val="36BA30AC"/>
    <w:rsid w:val="36EF03C4"/>
    <w:rsid w:val="37F37F6B"/>
    <w:rsid w:val="3A0069CD"/>
    <w:rsid w:val="3CFE2C36"/>
    <w:rsid w:val="3D31019E"/>
    <w:rsid w:val="3DD61C5E"/>
    <w:rsid w:val="3E4A2DC0"/>
    <w:rsid w:val="3F0653EB"/>
    <w:rsid w:val="3F480834"/>
    <w:rsid w:val="3F60400C"/>
    <w:rsid w:val="41242052"/>
    <w:rsid w:val="413661E7"/>
    <w:rsid w:val="4389789A"/>
    <w:rsid w:val="43B95E51"/>
    <w:rsid w:val="444E487B"/>
    <w:rsid w:val="45292AD5"/>
    <w:rsid w:val="45517238"/>
    <w:rsid w:val="4564559E"/>
    <w:rsid w:val="459668DE"/>
    <w:rsid w:val="45BB551D"/>
    <w:rsid w:val="45DA5BCB"/>
    <w:rsid w:val="45F23538"/>
    <w:rsid w:val="463C4809"/>
    <w:rsid w:val="470432A0"/>
    <w:rsid w:val="4709198D"/>
    <w:rsid w:val="47481F35"/>
    <w:rsid w:val="477E0840"/>
    <w:rsid w:val="48DE42C4"/>
    <w:rsid w:val="492C416A"/>
    <w:rsid w:val="49842208"/>
    <w:rsid w:val="49874987"/>
    <w:rsid w:val="49B85AD4"/>
    <w:rsid w:val="49FF500E"/>
    <w:rsid w:val="4A090ABD"/>
    <w:rsid w:val="4C02538B"/>
    <w:rsid w:val="4C661386"/>
    <w:rsid w:val="4D5D2780"/>
    <w:rsid w:val="4DC5624A"/>
    <w:rsid w:val="4EBA1767"/>
    <w:rsid w:val="4F6607E7"/>
    <w:rsid w:val="50766997"/>
    <w:rsid w:val="50844264"/>
    <w:rsid w:val="5288776B"/>
    <w:rsid w:val="52CA5724"/>
    <w:rsid w:val="536F1793"/>
    <w:rsid w:val="53CB34C6"/>
    <w:rsid w:val="53E11F8E"/>
    <w:rsid w:val="54A07C25"/>
    <w:rsid w:val="55840B11"/>
    <w:rsid w:val="55B42C0A"/>
    <w:rsid w:val="5744437D"/>
    <w:rsid w:val="574E1C45"/>
    <w:rsid w:val="593E1911"/>
    <w:rsid w:val="59BB58D0"/>
    <w:rsid w:val="5ACB5424"/>
    <w:rsid w:val="5B410F90"/>
    <w:rsid w:val="5BBF79FD"/>
    <w:rsid w:val="5BEE76B0"/>
    <w:rsid w:val="5C212B36"/>
    <w:rsid w:val="5CA03390"/>
    <w:rsid w:val="5CE93D4A"/>
    <w:rsid w:val="5D99189B"/>
    <w:rsid w:val="5DA63035"/>
    <w:rsid w:val="5DD9588B"/>
    <w:rsid w:val="5DD95D6A"/>
    <w:rsid w:val="5DE618CE"/>
    <w:rsid w:val="5E990703"/>
    <w:rsid w:val="5EA12B9A"/>
    <w:rsid w:val="5EB30D04"/>
    <w:rsid w:val="6016437E"/>
    <w:rsid w:val="60510DC9"/>
    <w:rsid w:val="60C11730"/>
    <w:rsid w:val="60D73480"/>
    <w:rsid w:val="610B77DC"/>
    <w:rsid w:val="618F7DA1"/>
    <w:rsid w:val="61BB584A"/>
    <w:rsid w:val="62373329"/>
    <w:rsid w:val="629042E0"/>
    <w:rsid w:val="630228D7"/>
    <w:rsid w:val="63D418E4"/>
    <w:rsid w:val="64BC69D8"/>
    <w:rsid w:val="65922A06"/>
    <w:rsid w:val="65C26CFD"/>
    <w:rsid w:val="65C31127"/>
    <w:rsid w:val="66780237"/>
    <w:rsid w:val="67127677"/>
    <w:rsid w:val="673066A7"/>
    <w:rsid w:val="67A91452"/>
    <w:rsid w:val="67C24104"/>
    <w:rsid w:val="67DA6092"/>
    <w:rsid w:val="67EC2785"/>
    <w:rsid w:val="680B3CFE"/>
    <w:rsid w:val="68A13467"/>
    <w:rsid w:val="69C04E50"/>
    <w:rsid w:val="69EC0103"/>
    <w:rsid w:val="6B2A3D7C"/>
    <w:rsid w:val="6D324DEA"/>
    <w:rsid w:val="6D394630"/>
    <w:rsid w:val="6DE04217"/>
    <w:rsid w:val="6E4C7F64"/>
    <w:rsid w:val="6EFB5A49"/>
    <w:rsid w:val="708F5CE8"/>
    <w:rsid w:val="70B87701"/>
    <w:rsid w:val="71796B13"/>
    <w:rsid w:val="718965A6"/>
    <w:rsid w:val="718E17BF"/>
    <w:rsid w:val="722B4BCB"/>
    <w:rsid w:val="72DA0412"/>
    <w:rsid w:val="755D588B"/>
    <w:rsid w:val="75F739C3"/>
    <w:rsid w:val="77393AAD"/>
    <w:rsid w:val="777D19F5"/>
    <w:rsid w:val="77B86625"/>
    <w:rsid w:val="77CB0585"/>
    <w:rsid w:val="78C54EB6"/>
    <w:rsid w:val="7A144B62"/>
    <w:rsid w:val="7A2A56CD"/>
    <w:rsid w:val="7B53416D"/>
    <w:rsid w:val="7C0D225F"/>
    <w:rsid w:val="7CDF6DCF"/>
    <w:rsid w:val="7D5151E7"/>
    <w:rsid w:val="7D845F64"/>
    <w:rsid w:val="7E126EB0"/>
    <w:rsid w:val="7F1E3587"/>
    <w:rsid w:val="7F797469"/>
    <w:rsid w:val="7F9D19F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3"/>
    <w:basedOn w:val="1"/>
    <w:next w:val="1"/>
    <w:qFormat/>
    <w:uiPriority w:val="0"/>
    <w:pPr>
      <w:keepNext/>
      <w:keepLines/>
      <w:adjustRightInd w:val="0"/>
      <w:spacing w:before="260" w:after="260" w:line="416" w:lineRule="atLeast"/>
      <w:textAlignment w:val="baseline"/>
      <w:outlineLvl w:val="2"/>
    </w:pPr>
    <w:rPr>
      <w:b/>
      <w:bCs/>
      <w:kern w:val="0"/>
      <w:sz w:val="28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 w:afterLines="0"/>
    </w:pPr>
    <w:rPr>
      <w:kern w:val="2"/>
      <w:sz w:val="21"/>
    </w:rPr>
  </w:style>
  <w:style w:type="paragraph" w:styleId="4">
    <w:name w:val="Plain Text"/>
    <w:basedOn w:val="1"/>
    <w:qFormat/>
    <w:uiPriority w:val="99"/>
    <w:rPr>
      <w:rFonts w:ascii="宋体" w:hAnsi="Courier New"/>
    </w:rPr>
  </w:style>
  <w:style w:type="paragraph" w:styleId="5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0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宋体" w:hAnsi="宋体" w:eastAsia="宋体" w:cs="Times New Roman"/>
      <w:color w:val="000000"/>
      <w:sz w:val="24"/>
      <w:lang w:val="en-US" w:eastAsia="zh-CN" w:bidi="ar-SA"/>
    </w:rPr>
  </w:style>
  <w:style w:type="character" w:customStyle="1" w:styleId="11">
    <w:name w:val="页眉 Char"/>
    <w:basedOn w:val="9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批注框文本 Char"/>
    <w:basedOn w:val="9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346</Words>
  <Characters>1973</Characters>
  <Lines>16</Lines>
  <Paragraphs>4</Paragraphs>
  <TotalTime>0</TotalTime>
  <ScaleCrop>false</ScaleCrop>
  <LinksUpToDate>false</LinksUpToDate>
  <CharactersWithSpaces>2315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Dell</cp:lastModifiedBy>
  <dcterms:modified xsi:type="dcterms:W3CDTF">2020-08-15T13:32:36Z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