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四川正翔建筑装饰工程有限公司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42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2272" w:type="dxa"/>
            <w:gridSpan w:val="3"/>
            <w:vAlign w:val="center"/>
          </w:tcPr>
          <w:p>
            <w:pPr>
              <w:jc w:val="center"/>
              <w:rPr>
                <w:b/>
                <w:sz w:val="21"/>
                <w:szCs w:val="21"/>
              </w:rPr>
            </w:pPr>
            <w:r>
              <w:rPr>
                <w:rFonts w:hint="eastAsia"/>
                <w:b/>
                <w:sz w:val="21"/>
                <w:szCs w:val="21"/>
              </w:rPr>
              <w:t>专业代码</w:t>
            </w:r>
          </w:p>
        </w:tc>
        <w:tc>
          <w:tcPr>
            <w:tcW w:w="1185"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2272" w:type="dxa"/>
            <w:gridSpan w:val="3"/>
            <w:vAlign w:val="center"/>
          </w:tcPr>
          <w:p>
            <w:pPr>
              <w:jc w:val="center"/>
              <w:rPr>
                <w:b/>
                <w:sz w:val="21"/>
                <w:szCs w:val="21"/>
              </w:rPr>
            </w:pPr>
            <w:r>
              <w:rPr>
                <w:b/>
                <w:sz w:val="21"/>
                <w:szCs w:val="21"/>
              </w:rPr>
              <w:t>EC:28.02.00,28.08.01,28.08.02,28.08.03,28.08.04,28.08.05</w:t>
            </w:r>
          </w:p>
          <w:p>
            <w:pPr>
              <w:jc w:val="center"/>
              <w:rPr>
                <w:b/>
                <w:sz w:val="21"/>
                <w:szCs w:val="21"/>
              </w:rPr>
            </w:pPr>
            <w:r>
              <w:rPr>
                <w:b/>
                <w:sz w:val="21"/>
                <w:szCs w:val="21"/>
              </w:rPr>
              <w:t>E:28.02.00,28.08.01,28.08.02,28.08.03,28.08.04,28.08.05</w:t>
            </w:r>
          </w:p>
          <w:p>
            <w:pPr>
              <w:jc w:val="center"/>
              <w:rPr>
                <w:b/>
                <w:sz w:val="21"/>
                <w:szCs w:val="21"/>
              </w:rPr>
            </w:pPr>
            <w:r>
              <w:rPr>
                <w:b/>
                <w:sz w:val="21"/>
                <w:szCs w:val="21"/>
              </w:rPr>
              <w:t>O:28.02.00,28.08.01,28.08.02,28.08.03,28.08.04,28.08.05</w:t>
            </w:r>
          </w:p>
        </w:tc>
        <w:tc>
          <w:tcPr>
            <w:tcW w:w="1185" w:type="dxa"/>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2272" w:type="dxa"/>
            <w:gridSpan w:val="3"/>
            <w:vAlign w:val="center"/>
          </w:tcPr>
          <w:p>
            <w:pPr>
              <w:jc w:val="center"/>
              <w:rPr>
                <w:b/>
                <w:sz w:val="21"/>
                <w:szCs w:val="21"/>
              </w:rPr>
            </w:pPr>
          </w:p>
        </w:tc>
        <w:tc>
          <w:tcPr>
            <w:tcW w:w="1185"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r>
        <w:rPr>
          <w:rFonts w:hint="eastAsia"/>
          <w:b/>
          <w:sz w:val="21"/>
          <w:szCs w:val="21"/>
        </w:rPr>
        <w:t>■</w:t>
      </w:r>
      <w:r>
        <w:rPr>
          <w:rFonts w:hint="eastAsia"/>
          <w:b/>
          <w:sz w:val="21"/>
          <w:szCs w:val="21"/>
          <w:lang w:val="en-US" w:eastAsia="zh-CN"/>
        </w:rPr>
        <w:t xml:space="preserve"> </w:t>
      </w:r>
      <w:r>
        <w:rPr>
          <w:rFonts w:hint="eastAsia"/>
          <w:b/>
          <w:sz w:val="21"/>
          <w:szCs w:val="21"/>
        </w:rPr>
        <w:t xml:space="preserve">GB/T 19001:2016 idt ISO 9001:2015标准不适用条款: </w:t>
      </w:r>
      <w:r>
        <w:rPr>
          <w:rFonts w:hint="eastAsia"/>
          <w:b/>
          <w:sz w:val="21"/>
          <w:szCs w:val="21"/>
          <w:lang w:val="en-US" w:eastAsia="zh-CN"/>
        </w:rPr>
        <w:t>无</w:t>
      </w:r>
    </w:p>
    <w:p>
      <w:pPr>
        <w:tabs>
          <w:tab w:val="left" w:pos="645"/>
        </w:tabs>
        <w:rPr>
          <w:rFonts w:hint="eastAsia" w:eastAsia="宋体"/>
          <w:b/>
          <w:sz w:val="21"/>
          <w:szCs w:val="21"/>
          <w:lang w:val="en-US" w:eastAsia="zh-CN"/>
        </w:rPr>
      </w:pPr>
      <w:r>
        <w:rPr>
          <w:rFonts w:hint="eastAsia"/>
          <w:b/>
          <w:sz w:val="21"/>
          <w:szCs w:val="21"/>
        </w:rPr>
        <w:t xml:space="preserve">■ GB/T 50430-2017标准不适用条款: </w:t>
      </w:r>
      <w:r>
        <w:rPr>
          <w:rFonts w:hint="eastAsia"/>
          <w:b/>
          <w:sz w:val="21"/>
          <w:szCs w:val="21"/>
          <w:lang w:val="en-US" w:eastAsia="zh-CN"/>
        </w:rPr>
        <w:t>无</w:t>
      </w:r>
    </w:p>
    <w:p>
      <w:pPr>
        <w:tabs>
          <w:tab w:val="left" w:pos="645"/>
        </w:tabs>
        <w:rPr>
          <w:b/>
          <w:sz w:val="21"/>
          <w:szCs w:val="21"/>
        </w:rPr>
      </w:pPr>
      <w:bookmarkStart w:id="4" w:name="E勾选Add"/>
      <w:r>
        <w:rPr>
          <w:rFonts w:hint="eastAsia"/>
          <w:b/>
          <w:sz w:val="21"/>
          <w:szCs w:val="21"/>
        </w:rPr>
        <w:t>■</w:t>
      </w:r>
      <w:bookmarkEnd w:id="4"/>
      <w:r>
        <w:rPr>
          <w:rFonts w:hint="eastAsia"/>
          <w:b/>
          <w:sz w:val="21"/>
          <w:szCs w:val="21"/>
        </w:rPr>
        <w:t xml:space="preserve"> GB/T 24001-2016 idt ISO 14001:2015标准</w:t>
      </w:r>
    </w:p>
    <w:p>
      <w:pPr>
        <w:tabs>
          <w:tab w:val="left" w:pos="645"/>
        </w:tabs>
        <w:rPr>
          <w:b/>
          <w:sz w:val="21"/>
          <w:szCs w:val="21"/>
        </w:rPr>
      </w:pPr>
      <w:bookmarkStart w:id="5" w:name="S勾选Add"/>
      <w:r>
        <w:rPr>
          <w:rFonts w:hint="eastAsia"/>
          <w:b/>
          <w:sz w:val="21"/>
          <w:szCs w:val="21"/>
        </w:rPr>
        <w:t>■</w:t>
      </w:r>
      <w:bookmarkEnd w:id="5"/>
      <w:r>
        <w:rPr>
          <w:rFonts w:hint="eastAsia"/>
          <w:b/>
          <w:sz w:val="21"/>
          <w:szCs w:val="21"/>
        </w:rPr>
        <w:t xml:space="preserve"> GB/T 28001-2011 idt OHSMS 18001:2007标准</w:t>
      </w:r>
    </w:p>
    <w:p>
      <w:pPr>
        <w:tabs>
          <w:tab w:val="left" w:pos="645"/>
        </w:tabs>
        <w:rPr>
          <w:b/>
          <w:sz w:val="21"/>
          <w:szCs w:val="21"/>
        </w:rPr>
      </w:pPr>
      <w:bookmarkStart w:id="6" w:name="S勾选Add1"/>
      <w:r>
        <w:rPr>
          <w:rFonts w:hint="eastAsia"/>
          <w:b/>
          <w:sz w:val="21"/>
          <w:szCs w:val="21"/>
        </w:rPr>
        <w:t>■</w:t>
      </w:r>
      <w:bookmarkEnd w:id="6"/>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00"/>
        <w:gridCol w:w="2222"/>
        <w:gridCol w:w="953"/>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41"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93" w:type="dxa"/>
            <w:gridSpan w:val="4"/>
          </w:tcPr>
          <w:p>
            <w:pPr>
              <w:spacing w:line="260" w:lineRule="exact"/>
              <w:rPr>
                <w:rFonts w:ascii="宋体"/>
                <w:b/>
                <w:color w:val="FF0000"/>
                <w:sz w:val="21"/>
              </w:rPr>
            </w:pPr>
            <w:bookmarkStart w:id="7" w:name="组织名称Add"/>
            <w:r>
              <w:rPr>
                <w:rFonts w:ascii="宋体"/>
                <w:b/>
                <w:color w:val="auto"/>
                <w:sz w:val="21"/>
              </w:rPr>
              <w:t>四川正翔建筑装饰工程有限公司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41" w:type="dxa"/>
            <w:gridSpan w:val="2"/>
            <w:vAlign w:val="center"/>
          </w:tcPr>
          <w:p>
            <w:pPr>
              <w:jc w:val="center"/>
              <w:rPr>
                <w:b/>
                <w:sz w:val="16"/>
                <w:szCs w:val="16"/>
              </w:rPr>
            </w:pPr>
            <w:r>
              <w:rPr>
                <w:rFonts w:hint="eastAsia" w:ascii="宋体" w:hAnsi="宋体"/>
                <w:b/>
                <w:sz w:val="21"/>
                <w:szCs w:val="21"/>
              </w:rPr>
              <w:t>注册地址</w:t>
            </w:r>
          </w:p>
        </w:tc>
        <w:tc>
          <w:tcPr>
            <w:tcW w:w="4793" w:type="dxa"/>
            <w:gridSpan w:val="4"/>
          </w:tcPr>
          <w:p>
            <w:pPr>
              <w:rPr>
                <w:rFonts w:ascii="宋体"/>
                <w:b/>
                <w:sz w:val="21"/>
              </w:rPr>
            </w:pPr>
            <w:bookmarkStart w:id="8" w:name="注册地址"/>
            <w:r>
              <w:rPr>
                <w:rFonts w:ascii="宋体"/>
                <w:b/>
                <w:sz w:val="21"/>
              </w:rPr>
              <w:t>四川省德阳市庐山北路477号希望城商业街1幢E座25-3号</w:t>
            </w:r>
            <w:bookmarkEnd w:id="8"/>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618000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41" w:type="dxa"/>
            <w:gridSpan w:val="2"/>
            <w:vAlign w:val="center"/>
          </w:tcPr>
          <w:p>
            <w:pPr>
              <w:jc w:val="center"/>
              <w:rPr>
                <w:rFonts w:ascii="宋体"/>
                <w:b/>
                <w:sz w:val="21"/>
                <w:szCs w:val="21"/>
              </w:rPr>
            </w:pPr>
            <w:r>
              <w:rPr>
                <w:rFonts w:hint="eastAsia" w:ascii="宋体" w:hAnsi="宋体"/>
                <w:b/>
                <w:sz w:val="21"/>
                <w:szCs w:val="21"/>
              </w:rPr>
              <w:t>经营地址</w:t>
            </w:r>
          </w:p>
        </w:tc>
        <w:tc>
          <w:tcPr>
            <w:tcW w:w="4793" w:type="dxa"/>
            <w:gridSpan w:val="4"/>
          </w:tcPr>
          <w:p>
            <w:pPr>
              <w:rPr>
                <w:rFonts w:ascii="宋体"/>
                <w:b/>
                <w:sz w:val="21"/>
              </w:rPr>
            </w:pPr>
            <w:bookmarkStart w:id="10" w:name="办公地址"/>
            <w:r>
              <w:rPr>
                <w:rFonts w:ascii="宋体"/>
                <w:b/>
                <w:sz w:val="21"/>
              </w:rPr>
              <w:t>四川省德阳市庐山北路477号希望城商业街1幢E座25-3号</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618000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41"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93" w:type="dxa"/>
            <w:gridSpan w:val="4"/>
          </w:tcPr>
          <w:p>
            <w:pPr>
              <w:rPr>
                <w:rFonts w:ascii="宋体"/>
                <w:b/>
                <w:sz w:val="21"/>
              </w:rPr>
            </w:pPr>
            <w:bookmarkStart w:id="12" w:name="生产地址Add"/>
            <w:r>
              <w:rPr>
                <w:rFonts w:ascii="宋体"/>
                <w:b/>
                <w:sz w:val="21"/>
              </w:rPr>
              <w:t>四川省德阳市庐山北路477号希望城商业街1幢E座25-3号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618000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41" w:type="dxa"/>
            <w:gridSpan w:val="2"/>
            <w:vAlign w:val="center"/>
          </w:tcPr>
          <w:p>
            <w:pPr>
              <w:jc w:val="center"/>
              <w:rPr>
                <w:rFonts w:ascii="宋体"/>
                <w:b/>
                <w:sz w:val="21"/>
              </w:rPr>
            </w:pPr>
            <w:r>
              <w:rPr>
                <w:rFonts w:hint="eastAsia" w:ascii="宋体" w:hAnsi="宋体"/>
                <w:b/>
                <w:sz w:val="21"/>
              </w:rPr>
              <w:t>联系人</w:t>
            </w:r>
          </w:p>
        </w:tc>
        <w:tc>
          <w:tcPr>
            <w:tcW w:w="2222" w:type="dxa"/>
          </w:tcPr>
          <w:p>
            <w:pPr>
              <w:rPr>
                <w:rFonts w:ascii="宋体"/>
                <w:b/>
                <w:sz w:val="21"/>
              </w:rPr>
            </w:pPr>
            <w:bookmarkStart w:id="14" w:name="联系人"/>
            <w:r>
              <w:rPr>
                <w:rFonts w:ascii="宋体"/>
                <w:b/>
                <w:sz w:val="21"/>
              </w:rPr>
              <w:t>刘玉莹</w:t>
            </w:r>
            <w:bookmarkEnd w:id="14"/>
          </w:p>
        </w:tc>
        <w:tc>
          <w:tcPr>
            <w:tcW w:w="953"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0838-2558866</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1"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22" w:type="dxa"/>
          </w:tcPr>
          <w:p>
            <w:pPr>
              <w:rPr>
                <w:rFonts w:ascii="宋体" w:hAnsi="宋体"/>
                <w:b/>
                <w:sz w:val="21"/>
                <w:szCs w:val="21"/>
              </w:rPr>
            </w:pPr>
            <w:bookmarkStart w:id="17" w:name="法人"/>
            <w:r>
              <w:rPr>
                <w:rFonts w:ascii="宋体" w:hAnsi="宋体"/>
                <w:b/>
                <w:sz w:val="21"/>
                <w:szCs w:val="21"/>
              </w:rPr>
              <w:t>陈柯</w:t>
            </w:r>
            <w:bookmarkEnd w:id="17"/>
          </w:p>
        </w:tc>
        <w:tc>
          <w:tcPr>
            <w:tcW w:w="953"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陈柯</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刘玉莹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41"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75" w:type="dxa"/>
            <w:gridSpan w:val="2"/>
            <w:vAlign w:val="center"/>
          </w:tcPr>
          <w:p>
            <w:pPr>
              <w:rPr>
                <w:rFonts w:ascii="宋体" w:hAnsi="宋体"/>
                <w:b/>
                <w:sz w:val="21"/>
                <w:szCs w:val="21"/>
              </w:rPr>
            </w:pPr>
            <w:bookmarkStart w:id="19" w:name="审核日期"/>
            <w:r>
              <w:rPr>
                <w:rFonts w:ascii="宋体" w:hAnsi="宋体"/>
                <w:b/>
                <w:sz w:val="21"/>
                <w:szCs w:val="21"/>
              </w:rPr>
              <w:t>2020年07月31日 上午至2020年08月03日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841"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965" w:type="dxa"/>
            <w:gridSpan w:val="6"/>
          </w:tcPr>
          <w:p>
            <w:pPr>
              <w:rPr>
                <w:rFonts w:ascii="宋体"/>
                <w:b/>
                <w:sz w:val="21"/>
                <w:szCs w:val="22"/>
              </w:rPr>
            </w:pPr>
            <w:r>
              <w:rPr>
                <w:rFonts w:hint="eastAsia" w:ascii="宋体" w:hAnsi="宋体"/>
                <w:b/>
                <w:sz w:val="21"/>
                <w:szCs w:val="21"/>
              </w:rPr>
              <w:t>■</w:t>
            </w:r>
            <w:r>
              <w:rPr>
                <w:rFonts w:ascii="宋体" w:hAnsi="宋体"/>
                <w:b/>
                <w:sz w:val="21"/>
                <w:szCs w:val="21"/>
              </w:rPr>
              <w:t>QMS</w:t>
            </w:r>
            <w:r>
              <w:rPr>
                <w:rFonts w:hint="eastAsia" w:ascii="宋体" w:hAnsi="宋体"/>
                <w:b/>
                <w:sz w:val="21"/>
                <w:szCs w:val="21"/>
              </w:rPr>
              <w:t>：■5</w:t>
            </w:r>
            <w:r>
              <w:rPr>
                <w:rFonts w:ascii="宋体" w:hAnsi="宋体"/>
                <w:b/>
                <w:sz w:val="21"/>
                <w:szCs w:val="21"/>
              </w:rPr>
              <w:t>043</w:t>
            </w:r>
            <w:r>
              <w:rPr>
                <w:rFonts w:ascii="宋体"/>
                <w:b/>
                <w:sz w:val="21"/>
                <w:szCs w:val="22"/>
              </w:rPr>
              <w:t>0</w:t>
            </w:r>
            <w:r>
              <w:rPr>
                <w:rFonts w:hint="eastAsia" w:ascii="宋体"/>
                <w:b/>
                <w:sz w:val="21"/>
                <w:szCs w:val="22"/>
              </w:rPr>
              <w:t>资质范围内的建筑装修装饰工程、建筑工程施工总承包</w:t>
            </w:r>
          </w:p>
          <w:p>
            <w:pPr>
              <w:rPr>
                <w:rFonts w:ascii="宋体"/>
                <w:b/>
                <w:sz w:val="21"/>
                <w:szCs w:val="22"/>
              </w:rPr>
            </w:pPr>
            <w:bookmarkStart w:id="20" w:name="E勾选Add1"/>
            <w:r>
              <w:rPr>
                <w:rFonts w:hint="eastAsia" w:ascii="宋体"/>
                <w:b/>
                <w:sz w:val="21"/>
                <w:szCs w:val="22"/>
              </w:rPr>
              <w:t>■</w:t>
            </w:r>
            <w:bookmarkEnd w:id="20"/>
            <w:r>
              <w:rPr>
                <w:rFonts w:ascii="宋体"/>
                <w:b/>
                <w:sz w:val="21"/>
                <w:szCs w:val="22"/>
              </w:rPr>
              <w:t>EMS</w:t>
            </w:r>
            <w:r>
              <w:rPr>
                <w:rFonts w:hint="eastAsia" w:ascii="宋体"/>
                <w:b/>
                <w:sz w:val="21"/>
                <w:szCs w:val="22"/>
              </w:rPr>
              <w:t>：资质范围内的建筑装修装饰工程、建筑工程施工总承包及相关环境管理活动</w:t>
            </w:r>
          </w:p>
          <w:p>
            <w:pPr>
              <w:rPr>
                <w:rFonts w:ascii="宋体" w:hAnsi="宋体"/>
                <w:b/>
                <w:sz w:val="21"/>
                <w:szCs w:val="21"/>
              </w:rPr>
            </w:pPr>
            <w:bookmarkStart w:id="21" w:name="S勾选Add2"/>
            <w:r>
              <w:rPr>
                <w:rFonts w:hint="eastAsia" w:ascii="宋体"/>
                <w:b/>
                <w:sz w:val="21"/>
                <w:szCs w:val="22"/>
              </w:rPr>
              <w:t>■</w:t>
            </w:r>
            <w:bookmarkEnd w:id="21"/>
            <w:r>
              <w:rPr>
                <w:rFonts w:ascii="宋体"/>
                <w:b/>
                <w:sz w:val="21"/>
                <w:szCs w:val="22"/>
              </w:rPr>
              <w:t>OHSMS</w:t>
            </w:r>
            <w:r>
              <w:rPr>
                <w:rFonts w:hint="eastAsia" w:ascii="宋体"/>
                <w:b/>
                <w:sz w:val="21"/>
                <w:szCs w:val="22"/>
              </w:rPr>
              <w:t xml:space="preserve">：资质范围内的建筑装修装饰工程、建筑工程施工总承包及相关职业健康安全管理活动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800"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965"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1"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22" w:type="dxa"/>
          </w:tcPr>
          <w:p>
            <w:pPr>
              <w:spacing w:line="260" w:lineRule="exact"/>
              <w:rPr>
                <w:rFonts w:ascii="宋体" w:hAnsi="宋体"/>
                <w:b/>
                <w:sz w:val="21"/>
                <w:szCs w:val="21"/>
              </w:rPr>
            </w:pPr>
            <w:bookmarkStart w:id="22" w:name="专业代码"/>
            <w:r>
              <w:rPr>
                <w:rFonts w:ascii="宋体" w:hAnsi="宋体"/>
                <w:b/>
                <w:sz w:val="21"/>
                <w:szCs w:val="21"/>
              </w:rPr>
              <w:t>EC：28.02.00;28.08.01;28.08.02;28.08.03;28.08.04;28.08.05</w:t>
            </w:r>
          </w:p>
          <w:p>
            <w:pPr>
              <w:spacing w:line="260" w:lineRule="exact"/>
              <w:rPr>
                <w:rFonts w:ascii="宋体" w:hAnsi="宋体"/>
                <w:b/>
                <w:sz w:val="21"/>
                <w:szCs w:val="21"/>
              </w:rPr>
            </w:pPr>
            <w:r>
              <w:rPr>
                <w:rFonts w:ascii="宋体" w:hAnsi="宋体"/>
                <w:b/>
                <w:sz w:val="21"/>
                <w:szCs w:val="21"/>
              </w:rPr>
              <w:t>E：28.02.00;28.08.01;28.08.02;28.08.03;28.08.04;28.08.05</w:t>
            </w:r>
          </w:p>
          <w:p>
            <w:pPr>
              <w:spacing w:line="260" w:lineRule="exact"/>
              <w:rPr>
                <w:rFonts w:ascii="宋体" w:hAnsi="宋体"/>
                <w:b/>
                <w:sz w:val="21"/>
                <w:szCs w:val="21"/>
              </w:rPr>
            </w:pPr>
            <w:r>
              <w:rPr>
                <w:rFonts w:ascii="宋体" w:hAnsi="宋体"/>
                <w:b/>
                <w:sz w:val="21"/>
                <w:szCs w:val="21"/>
              </w:rPr>
              <w:t>O：28.02.00;28.08.01;28.08.02;28.08.03;28.08.04;28.08.05</w:t>
            </w:r>
            <w:bookmarkEnd w:id="22"/>
          </w:p>
        </w:tc>
        <w:tc>
          <w:tcPr>
            <w:tcW w:w="953"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2022年07月04日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2</w:t>
            </w:r>
            <w:r>
              <w:rPr>
                <w:b/>
                <w:sz w:val="20"/>
              </w:rPr>
              <w:t>019</w:t>
            </w:r>
            <w:r>
              <w:rPr>
                <w:rFonts w:hint="eastAsia"/>
                <w:b/>
                <w:sz w:val="20"/>
              </w:rPr>
              <w:t>年6月</w:t>
            </w:r>
            <w:r>
              <w:rPr>
                <w:b/>
                <w:sz w:val="20"/>
              </w:rPr>
              <w:t>28</w:t>
            </w:r>
            <w:r>
              <w:rPr>
                <w:rFonts w:hint="eastAsia"/>
                <w:b/>
                <w:sz w:val="20"/>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2" w:firstLineChars="200"/>
              <w:rPr>
                <w:b/>
                <w:color w:val="000000" w:themeColor="text1"/>
                <w:sz w:val="20"/>
                <w:szCs w:val="20"/>
              </w:rPr>
            </w:pPr>
            <w:r>
              <w:rPr>
                <w:rFonts w:hint="eastAsia"/>
                <w:b/>
                <w:color w:val="000000" w:themeColor="text1"/>
                <w:sz w:val="20"/>
                <w:szCs w:val="20"/>
              </w:rPr>
              <w:t>经营范围：资质范围内的建筑装修装饰工程、建筑工程施工总承包。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b/>
                <w:color w:val="000000" w:themeColor="text1"/>
                <w:sz w:val="20"/>
                <w:szCs w:val="20"/>
              </w:rPr>
            </w:pPr>
            <w:r>
              <w:rPr>
                <w:rFonts w:hint="eastAsia"/>
                <w:b/>
                <w:color w:val="000000" w:themeColor="text1"/>
                <w:sz w:val="20"/>
                <w:szCs w:val="20"/>
              </w:rPr>
              <w:t>提供了《组织内外部环境因素识别表》：</w:t>
            </w:r>
          </w:p>
          <w:p>
            <w:pPr>
              <w:spacing w:line="240" w:lineRule="exact"/>
              <w:ind w:firstLine="402" w:firstLineChars="200"/>
              <w:rPr>
                <w:b/>
                <w:color w:val="000000" w:themeColor="text1"/>
                <w:sz w:val="20"/>
                <w:szCs w:val="20"/>
              </w:rPr>
            </w:pPr>
            <w:r>
              <w:rPr>
                <w:rFonts w:hint="eastAsia"/>
                <w:b/>
                <w:color w:val="000000" w:themeColor="text1"/>
                <w:sz w:val="20"/>
                <w:szCs w:val="20"/>
              </w:rPr>
              <w:t>内部环境：资源因素－公司提供符合资质范围内的建筑装修装饰工程、建筑工程施工总承包的场所，配备适宜的硬件和软件设施设备。信息来源：设施设备清单－具体现状描述：本公司设施设备可以确保资质范围内的建筑装修装饰工程、建筑工程施工总承包，基本的质量控制要求－SWOT分析：WT……</w:t>
            </w:r>
          </w:p>
          <w:p>
            <w:pPr>
              <w:spacing w:line="240" w:lineRule="exact"/>
              <w:ind w:firstLine="402" w:firstLineChars="200"/>
              <w:rPr>
                <w:b/>
                <w:color w:val="000000" w:themeColor="text1"/>
                <w:sz w:val="20"/>
                <w:szCs w:val="20"/>
              </w:rPr>
            </w:pPr>
            <w:r>
              <w:rPr>
                <w:rFonts w:hint="eastAsia"/>
                <w:b/>
                <w:color w:val="000000" w:themeColor="text1"/>
                <w:sz w:val="20"/>
                <w:szCs w:val="20"/>
              </w:rPr>
              <w:t>外部环境：竞争力－公司类别：资质范围内的建筑装修装饰工程、建筑工程施工总承包，当前市场占有率不高，其他类似企业比较多－信息来源：市场调查和分析－具体现状描述：本公司产品质量稳定，但在市场中同行也多，竞争压力大－SWOT分析：ST……</w:t>
            </w:r>
          </w:p>
          <w:p>
            <w:pPr>
              <w:spacing w:before="62" w:beforeLines="20"/>
              <w:rPr>
                <w:b/>
                <w:color w:val="000000" w:themeColor="text1"/>
                <w:sz w:val="20"/>
                <w:szCs w:val="20"/>
              </w:rPr>
            </w:pPr>
            <w:r>
              <w:rPr>
                <w:rFonts w:hint="eastAsia"/>
                <w:b/>
                <w:color w:val="000000" w:themeColor="text1"/>
                <w:sz w:val="20"/>
                <w:szCs w:val="20"/>
              </w:rPr>
              <w:t>公司管理层</w:t>
            </w:r>
            <w:r>
              <w:rPr>
                <w:rFonts w:hint="eastAsia" w:ascii="Times New Roman" w:hAnsi="Times New Roman" w:cs="Times New Roman"/>
                <w:b/>
                <w:color w:val="000000" w:themeColor="text1"/>
                <w:sz w:val="20"/>
                <w:szCs w:val="20"/>
              </w:rPr>
              <w:t>已确定了外部和内部因素，已经对经营环境、内外部环境进行分析并提出对策，并进行了监视和评审。</w:t>
            </w:r>
            <w:r>
              <w:rPr>
                <w:rFonts w:hint="eastAsia" w:ascii="Times New Roman" w:hAnsi="Times New Roman" w:cs="Times New Roman"/>
                <w:b/>
                <w:color w:val="000000" w:themeColor="text1"/>
                <w:sz w:val="20"/>
                <w:szCs w:val="20"/>
                <w:lang w:val="en-US" w:eastAsia="zh-CN"/>
              </w:rPr>
              <w:t xml:space="preserve">由于标准的版本更新，公司根据标准的更新体系文件也进行了相应的更新，更新后的版本为：B/0 </w:t>
            </w:r>
            <w:r>
              <w:rPr>
                <w:rFonts w:hint="eastAsia" w:ascii="Times New Roman" w:hAnsi="Times New Roman" w:cs="Times New Roman"/>
                <w:b/>
                <w:color w:val="000000" w:themeColor="text1"/>
                <w:sz w:val="20"/>
                <w:szCs w:val="20"/>
              </w:rPr>
              <w:t>实施开始时间：</w:t>
            </w:r>
            <w:r>
              <w:rPr>
                <w:rFonts w:hint="eastAsia" w:ascii="Times New Roman" w:hAnsi="Times New Roman" w:cs="Times New Roman"/>
                <w:b/>
                <w:color w:val="000000" w:themeColor="text1"/>
                <w:sz w:val="20"/>
                <w:szCs w:val="20"/>
                <w:lang w:eastAsia="zh-CN"/>
              </w:rPr>
              <w:t>2020年3月9日</w:t>
            </w:r>
            <w:r>
              <w:rPr>
                <w:rFonts w:hint="eastAsia" w:ascii="Times New Roman" w:hAnsi="Times New Roman" w:cs="Times New Roman"/>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2" w:firstLineChars="200"/>
              <w:rPr>
                <w:b/>
                <w:color w:val="000000" w:themeColor="text1"/>
                <w:sz w:val="20"/>
                <w:szCs w:val="20"/>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具体部门及识别见管理评审输入。主要顾客群：城投集团、房地产开发商、广大企事业单位、商户、居民等</w:t>
            </w:r>
          </w:p>
          <w:p>
            <w:pPr>
              <w:spacing w:line="240" w:lineRule="exact"/>
              <w:ind w:firstLine="402" w:firstLineChars="200"/>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pPr>
              <w:spacing w:line="240" w:lineRule="exact"/>
              <w:ind w:firstLine="402" w:firstLineChars="200"/>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相关方期望或要求监测与更新：管理者代表每年在管理评审前组织一次全面的内外部内外部环境要素识别与评审。</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402" w:firstLineChars="200"/>
              <w:rPr>
                <w:b/>
                <w:color w:val="000000" w:themeColor="text1"/>
              </w:rPr>
            </w:pPr>
            <w:r>
              <w:rPr>
                <w:rFonts w:hint="eastAsia" w:ascii="Times New Roman" w:hAnsi="Times New Roman" w:cs="Times New Roman"/>
                <w:b/>
                <w:color w:val="000000" w:themeColor="text1"/>
                <w:sz w:val="20"/>
                <w:szCs w:val="20"/>
              </w:rPr>
              <w:t>管理方针：“科学管理、质量创优、顾客至上，守法经营，安全第一，预防污染，井井有条，持续改进”。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ind w:firstLine="482" w:firstLineChars="200"/>
              <w:jc w:val="left"/>
              <w:rPr>
                <w:rFonts w:hint="eastAsia" w:ascii="Times New Roman" w:hAnsi="Times New Roman" w:cs="Times New Roman"/>
                <w:b/>
                <w:color w:val="000000" w:themeColor="text1"/>
                <w:sz w:val="20"/>
                <w:szCs w:val="20"/>
              </w:rPr>
            </w:pPr>
            <w:r>
              <w:rPr>
                <w:b/>
                <w:color w:val="000000" w:themeColor="text1"/>
              </w:rPr>
              <w:t>4、</w:t>
            </w:r>
            <w:r>
              <w:rPr>
                <w:rFonts w:hint="eastAsia" w:ascii="Times New Roman" w:hAnsi="Times New Roman" w:cs="Times New Roman"/>
                <w:b/>
                <w:color w:val="000000" w:themeColor="text1"/>
                <w:sz w:val="20"/>
                <w:szCs w:val="20"/>
              </w:rPr>
              <w:t>风险识别与控制策划（QES）</w:t>
            </w:r>
          </w:p>
          <w:p>
            <w:pPr>
              <w:spacing w:line="240" w:lineRule="exact"/>
              <w:ind w:firstLine="402" w:firstLineChars="200"/>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ind w:firstLine="402" w:firstLineChars="200"/>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02" w:firstLineChars="200"/>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02" w:firstLineChars="200"/>
              <w:rPr>
                <w:b/>
                <w:color w:val="000000" w:themeColor="text1"/>
              </w:rPr>
            </w:pPr>
            <w:r>
              <w:rPr>
                <w:rFonts w:hint="eastAsia" w:ascii="Times New Roman" w:hAnsi="Times New Roman" w:cs="Times New Roman"/>
                <w:b/>
                <w:color w:val="000000" w:themeColor="text1"/>
                <w:sz w:val="20"/>
                <w:szCs w:val="20"/>
              </w:rPr>
              <w:t>机遇主要是现在社会需求不断增多，全民环保安全意识越来越强等。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质量管理体系过程有：人力资源、基础设施、文件、设计、职责、服务的要求、外部提供的产品和服务、产品放行、不合格输出控制、绩效评价和改进等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设计过程、隐蔽工程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特殊防水、结构焊接</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2051" o:spid="_x0000_s2051"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ascii="宋体" w:hAnsi="宋体"/>
                <w:b/>
                <w:color w:val="000000" w:themeColor="text1"/>
                <w:sz w:val="20"/>
                <w:szCs w:val="20"/>
              </w:rPr>
              <w:t xml:space="preserve"> </w:t>
            </w:r>
            <w:r>
              <w:rPr>
                <w:rFonts w:hint="eastAsia" w:ascii="宋体" w:hAnsi="宋体"/>
                <w:b/>
                <w:color w:val="000000" w:themeColor="text1"/>
                <w:sz w:val="20"/>
                <w:szCs w:val="20"/>
              </w:rPr>
              <w:t xml:space="preserve">  ，不适用理由：</w:t>
            </w:r>
            <w:r>
              <w:rPr>
                <w:rFonts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根据公司经营性质，识别了各部门和场所的环境因素，并对环境因素进行了评价，评价出了重要环境因素（固体废弃物排放、火灾爆炸、噪声排放、粉尘排放、废水排放、资源浪费)，识别基本齐全，评价合理。基本了解评价动态变更的及时性。</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根据组织经营性质，识别了各部门和场所的危险源，并对危险源进行了评价，评价出不可接受风险（塌方、倒塌事故、触电、火灾爆炸、机械伤害、高处坠落、中暑、物体打击、车辆伤害、暴雨或洪水伤害），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    ■网络    ■公示   ■其他</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ascii="宋体" w:hAnsi="宋体"/>
                <w:b/>
                <w:color w:val="000000" w:themeColor="text1"/>
              </w:rPr>
              <w:t xml:space="preserve"> </w:t>
            </w:r>
            <w:r>
              <w:rPr>
                <w:rFonts w:ascii="宋体" w:hAnsi="宋体"/>
                <w:b/>
                <w:color w:val="000000" w:themeColor="text1"/>
              </w:rPr>
              <w:t xml:space="preserve">   </w:t>
            </w:r>
            <w:r>
              <w:rPr>
                <w:rFonts w:hint="eastAsia" w:ascii="宋体" w:hAnsi="宋体" w:eastAsia="宋体" w:cs="Times New Roman"/>
                <w:b/>
                <w:color w:val="000000" w:themeColor="text1"/>
                <w:kern w:val="2"/>
                <w:sz w:val="21"/>
                <w:szCs w:val="21"/>
                <w:lang w:val="en-US" w:eastAsia="zh-CN" w:bidi="ar-SA"/>
              </w:rPr>
              <w:t>在公司各职能和层次上建立了质量、环境、职业健康安全目标，并制定了相应考核办法。基本适宜公司特点。目标具有可测量性，对目标完成情况进行了考核。对制订的管理方案实施情况定期进行检查，提供检查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b/>
                <w:color w:val="000000" w:themeColor="text1"/>
                <w:sz w:val="20"/>
                <w:szCs w:val="20"/>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r>
              <w:rPr>
                <w:rFonts w:hint="eastAsia" w:ascii="宋体" w:hAnsi="宋体"/>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02" w:firstLineChars="200"/>
              <w:rPr>
                <w:rFonts w:hint="eastAsia" w:ascii="宋体" w:hAnsi="宋体"/>
                <w:b/>
                <w:color w:val="000000" w:themeColor="text1"/>
                <w:sz w:val="20"/>
                <w:szCs w:val="20"/>
              </w:rPr>
            </w:pPr>
            <w:r>
              <w:rPr>
                <w:rFonts w:hint="eastAsia" w:ascii="宋体" w:hAnsi="宋体"/>
                <w:b/>
                <w:color w:val="000000" w:themeColor="text1"/>
                <w:sz w:val="20"/>
                <w:szCs w:val="20"/>
              </w:rPr>
              <w:t>创建和更新文件时，标识和说明、格式、评审和批准等与规定要求相符。文件的存在形式以书面文件和电子版文件为准。文审修订后成文信息的控制符合要求。</w:t>
            </w:r>
          </w:p>
          <w:p>
            <w:pPr>
              <w:tabs>
                <w:tab w:val="left" w:pos="540"/>
              </w:tabs>
              <w:spacing w:line="240" w:lineRule="exact"/>
              <w:ind w:firstLine="402" w:firstLineChars="200"/>
              <w:rPr>
                <w:rFonts w:hint="eastAsia" w:ascii="宋体" w:hAnsi="宋体"/>
                <w:b/>
                <w:color w:val="000000" w:themeColor="text1"/>
                <w:sz w:val="20"/>
                <w:szCs w:val="20"/>
              </w:rPr>
            </w:pPr>
            <w:r>
              <w:rPr>
                <w:rFonts w:hint="eastAsia" w:cs="Times New Roman"/>
                <w:b/>
                <w:color w:val="000000" w:themeColor="text1"/>
                <w:sz w:val="20"/>
                <w:szCs w:val="20"/>
                <w:lang w:val="en-US" w:eastAsia="zh-CN"/>
              </w:rPr>
              <w:t>公司体系文件</w:t>
            </w:r>
            <w:r>
              <w:rPr>
                <w:rFonts w:hint="eastAsia" w:ascii="Times New Roman" w:hAnsi="Times New Roman" w:cs="Times New Roman"/>
                <w:b/>
                <w:color w:val="000000" w:themeColor="text1"/>
                <w:sz w:val="20"/>
                <w:szCs w:val="20"/>
                <w:lang w:val="en-US" w:eastAsia="zh-CN"/>
              </w:rPr>
              <w:t xml:space="preserve">更新后的版本为：B/0 </w:t>
            </w:r>
            <w:r>
              <w:rPr>
                <w:rFonts w:hint="eastAsia" w:ascii="Times New Roman" w:hAnsi="Times New Roman" w:cs="Times New Roman"/>
                <w:b/>
                <w:color w:val="000000" w:themeColor="text1"/>
                <w:sz w:val="20"/>
                <w:szCs w:val="20"/>
              </w:rPr>
              <w:t>实施开始时间：</w:t>
            </w:r>
            <w:r>
              <w:rPr>
                <w:rFonts w:hint="eastAsia" w:ascii="Times New Roman" w:hAnsi="Times New Roman" w:cs="Times New Roman"/>
                <w:b/>
                <w:color w:val="000000" w:themeColor="text1"/>
                <w:sz w:val="20"/>
                <w:szCs w:val="20"/>
                <w:lang w:eastAsia="zh-CN"/>
              </w:rPr>
              <w:t>2020年3月9日</w:t>
            </w:r>
            <w:r>
              <w:rPr>
                <w:rFonts w:hint="eastAsia" w:ascii="Times New Roman" w:hAnsi="Times New Roman" w:cs="Times New Roman"/>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r>
              <w:rPr>
                <w:rFonts w:hint="eastAsia" w:ascii="宋体" w:hAnsi="宋体"/>
                <w:b/>
                <w:color w:val="000000" w:themeColor="text1"/>
                <w:sz w:val="20"/>
                <w:szCs w:val="20"/>
              </w:rPr>
              <w:t>该公司员工</w:t>
            </w:r>
            <w:r>
              <w:rPr>
                <w:rFonts w:ascii="宋体" w:hAnsi="宋体"/>
                <w:b/>
                <w:color w:val="000000" w:themeColor="text1"/>
                <w:sz w:val="20"/>
                <w:szCs w:val="20"/>
              </w:rPr>
              <w:t>56</w:t>
            </w:r>
            <w:r>
              <w:rPr>
                <w:rFonts w:hint="eastAsia" w:ascii="宋体" w:hAnsi="宋体"/>
                <w:b/>
                <w:color w:val="000000" w:themeColor="text1"/>
                <w:sz w:val="20"/>
                <w:szCs w:val="20"/>
              </w:rPr>
              <w:t>人，管理人员</w:t>
            </w:r>
            <w:r>
              <w:rPr>
                <w:rFonts w:ascii="宋体" w:hAnsi="宋体"/>
                <w:b/>
                <w:color w:val="000000" w:themeColor="text1"/>
                <w:sz w:val="20"/>
                <w:szCs w:val="20"/>
              </w:rPr>
              <w:t>6</w:t>
            </w:r>
            <w:r>
              <w:rPr>
                <w:rFonts w:hint="eastAsia" w:ascii="宋体" w:hAnsi="宋体"/>
                <w:b/>
                <w:color w:val="000000" w:themeColor="text1"/>
                <w:sz w:val="20"/>
                <w:szCs w:val="20"/>
              </w:rPr>
              <w:t>人，人力资源满足要求。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设备主要是：砂轮切割机、气钉枪、空气压缩机、手提电刨、电锤、玻璃钻孔机、涂料搅拌器、蚊钉枪、活动脚手架等设备适宜，建筑施工设备需要时外租；电脑、打印机、复印件、空调等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运行环境室外施工有温度和风力的要求，能满足要求。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r>
              <w:rPr>
                <w:rFonts w:hint="eastAsia" w:ascii="宋体" w:hAnsi="宋体"/>
                <w:b/>
                <w:color w:val="000000" w:themeColor="text1"/>
                <w:sz w:val="20"/>
                <w:szCs w:val="20"/>
              </w:rPr>
              <w:t>监视测量设备：水准仪、绝缘电阻测试仪、钢卷尺、电子秤、直尺</w:t>
            </w:r>
            <w:r>
              <w:rPr>
                <w:rFonts w:hint="eastAsia" w:ascii="宋体" w:hAnsi="宋体"/>
                <w:b/>
                <w:color w:val="000000" w:themeColor="text1"/>
                <w:sz w:val="20"/>
                <w:szCs w:val="20"/>
                <w:lang w:val="en-US" w:eastAsia="zh-CN"/>
              </w:rPr>
              <w:t>等</w:t>
            </w:r>
            <w:r>
              <w:rPr>
                <w:rFonts w:hint="eastAsia" w:ascii="宋体" w:hAnsi="宋体"/>
                <w:b/>
                <w:color w:val="000000" w:themeColor="text1"/>
                <w:sz w:val="20"/>
                <w:szCs w:val="20"/>
              </w:rPr>
              <w:t xml:space="preserve">，能够满足要求。 </w:t>
            </w:r>
            <w:r>
              <w:rPr>
                <w:rFonts w:hint="eastAsia" w:ascii="宋体" w:hAnsi="宋体"/>
                <w:b/>
                <w:color w:val="000000" w:themeColor="text1"/>
                <w:sz w:val="20"/>
                <w:szCs w:val="20"/>
                <w:lang w:val="en-US" w:eastAsia="zh-CN"/>
              </w:rPr>
              <w:t>现场提供相应监视测量设备校准证书，详见附件。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r>
              <w:rPr>
                <w:rFonts w:hint="eastAsia" w:ascii="宋体" w:hAnsi="宋体"/>
                <w:b/>
                <w:color w:val="000000" w:themeColor="text1"/>
                <w:sz w:val="20"/>
                <w:szCs w:val="20"/>
              </w:rPr>
              <w:t>公司确定运行过程所需的知识，内部来源包括公司运作准则（管理制度、作业指导书、工作记录等）、专业技术应用、建筑、装修装饰工程过程管理等。外部来源包括外来资料、法律法规、市场信息等。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r>
              <w:rPr>
                <w:rFonts w:hint="eastAsia" w:ascii="宋体" w:hAnsi="宋体"/>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 xml:space="preserve"> </w:t>
            </w:r>
            <w:r>
              <w:rPr>
                <w:rFonts w:ascii="宋体" w:hAnsi="宋体"/>
                <w:b/>
                <w:color w:val="000000" w:themeColor="text1"/>
                <w:sz w:val="20"/>
                <w:szCs w:val="20"/>
              </w:rPr>
              <w:t xml:space="preserve">   </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ascii="Times New Roman" w:hAnsi="Times New Roman" w:cs="Times New Roman"/>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ascii="Times New Roman" w:hAnsi="Times New Roman" w:cs="Times New Roman"/>
                <w:b/>
                <w:color w:val="000000" w:themeColor="text1"/>
                <w:sz w:val="20"/>
                <w:szCs w:val="20"/>
              </w:rPr>
              <w:t>）</w:t>
            </w:r>
          </w:p>
          <w:p>
            <w:pPr>
              <w:spacing w:line="300" w:lineRule="exact"/>
              <w:ind w:left="1"/>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 xml:space="preserve">    1. 管理方针：“科学管理、质量创优、顾客至上，守法经营，安全第一，预防污</w:t>
            </w:r>
          </w:p>
          <w:p>
            <w:pPr>
              <w:spacing w:line="300" w:lineRule="exact"/>
              <w:ind w:left="1"/>
              <w:rPr>
                <w:rFonts w:hint="eastAsia" w:ascii="Times New Roman" w:hAnsi="Times New Roman" w:cs="Times New Roman"/>
                <w:b/>
                <w:color w:val="000000" w:themeColor="text1"/>
                <w:sz w:val="20"/>
                <w:szCs w:val="20"/>
              </w:rPr>
            </w:pPr>
            <w:r>
              <w:rPr>
                <w:rFonts w:hint="eastAsia" w:ascii="Times New Roman" w:hAnsi="Times New Roman" w:cs="Times New Roman"/>
                <w:b/>
                <w:color w:val="000000" w:themeColor="text1"/>
                <w:sz w:val="20"/>
                <w:szCs w:val="20"/>
              </w:rPr>
              <w:t>染，井井有条，持续改进”</w:t>
            </w:r>
          </w:p>
          <w:p>
            <w:pPr>
              <w:spacing w:line="300" w:lineRule="exact"/>
              <w:ind w:left="1" w:firstLine="402" w:firstLineChars="200"/>
              <w:rPr>
                <w:b/>
                <w:color w:val="000000" w:themeColor="text1"/>
                <w:sz w:val="20"/>
                <w:szCs w:val="20"/>
              </w:rPr>
            </w:pPr>
            <w:r>
              <w:rPr>
                <w:rFonts w:hint="eastAsia"/>
                <w:b/>
                <w:color w:val="000000" w:themeColor="text1"/>
                <w:sz w:val="20"/>
                <w:szCs w:val="20"/>
              </w:rPr>
              <w:t>2. 管理方针与企业的经营宗旨相适应，协调；</w:t>
            </w:r>
          </w:p>
          <w:p>
            <w:pPr>
              <w:spacing w:line="300" w:lineRule="exact"/>
              <w:ind w:left="1" w:firstLine="402" w:firstLineChars="200"/>
              <w:rPr>
                <w:b/>
                <w:color w:val="000000" w:themeColor="text1"/>
                <w:sz w:val="20"/>
                <w:szCs w:val="20"/>
              </w:rPr>
            </w:pPr>
            <w:r>
              <w:rPr>
                <w:rFonts w:hint="eastAsia"/>
                <w:b/>
                <w:color w:val="000000" w:themeColor="text1"/>
                <w:sz w:val="20"/>
                <w:szCs w:val="20"/>
              </w:rPr>
              <w:t>3. 通过会议传达，沟通，让全体员工理解执行。并定期进行评审（一般一年一次）。20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5</w:t>
            </w:r>
            <w:r>
              <w:rPr>
                <w:rFonts w:hint="eastAsia"/>
                <w:b/>
                <w:color w:val="000000" w:themeColor="text1"/>
                <w:sz w:val="20"/>
                <w:szCs w:val="20"/>
              </w:rPr>
              <w:t>月</w:t>
            </w:r>
            <w:r>
              <w:rPr>
                <w:b/>
                <w:color w:val="000000" w:themeColor="text1"/>
                <w:sz w:val="20"/>
                <w:szCs w:val="20"/>
              </w:rPr>
              <w:t>7</w:t>
            </w:r>
            <w:r>
              <w:rPr>
                <w:rFonts w:hint="eastAsia"/>
                <w:b/>
                <w:color w:val="000000" w:themeColor="text1"/>
                <w:sz w:val="20"/>
                <w:szCs w:val="20"/>
              </w:rPr>
              <w:t>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内部沟通的情况：部沟通的情况：内部沟通方式：会议、公告栏、发放文件、网络、微信、Q</w:t>
            </w:r>
            <w:r>
              <w:rPr>
                <w:b/>
                <w:color w:val="000000" w:themeColor="text1"/>
                <w:sz w:val="20"/>
                <w:szCs w:val="20"/>
              </w:rPr>
              <w:t>Q</w:t>
            </w:r>
            <w:r>
              <w:rPr>
                <w:rFonts w:hint="eastAsia"/>
                <w:b/>
                <w:color w:val="000000" w:themeColor="text1"/>
                <w:sz w:val="20"/>
                <w:szCs w:val="20"/>
              </w:rPr>
              <w:t>等</w:t>
            </w:r>
          </w:p>
          <w:p>
            <w:pPr>
              <w:spacing w:line="240" w:lineRule="exact"/>
              <w:rPr>
                <w:b/>
                <w:color w:val="000000" w:themeColor="text1"/>
                <w:sz w:val="20"/>
                <w:szCs w:val="20"/>
              </w:rPr>
            </w:pPr>
            <w:r>
              <w:rPr>
                <w:rFonts w:hint="eastAsia"/>
                <w:b/>
                <w:color w:val="000000" w:themeColor="text1"/>
                <w:sz w:val="20"/>
                <w:szCs w:val="20"/>
              </w:rPr>
              <w:t>内部沟通的效果：能够得到有效沟通</w:t>
            </w:r>
          </w:p>
          <w:p>
            <w:pPr>
              <w:spacing w:line="240" w:lineRule="exact"/>
              <w:rPr>
                <w:b/>
                <w:color w:val="000000" w:themeColor="text1"/>
                <w:sz w:val="20"/>
                <w:szCs w:val="20"/>
              </w:rPr>
            </w:pPr>
            <w:r>
              <w:rPr>
                <w:rFonts w:hint="eastAsia"/>
                <w:b/>
                <w:color w:val="000000" w:themeColor="text1"/>
                <w:sz w:val="20"/>
                <w:szCs w:val="20"/>
              </w:rPr>
              <w:t>公司对外联络，关注顾客的感受情况（QMS）：顾客满意度调查表的发放、电话回访、到顾客现场进行询问等形式</w:t>
            </w:r>
          </w:p>
          <w:p>
            <w:pPr>
              <w:spacing w:line="240" w:lineRule="exact"/>
              <w:rPr>
                <w:b/>
                <w:color w:val="000000" w:themeColor="text1"/>
                <w:sz w:val="20"/>
                <w:szCs w:val="20"/>
              </w:rPr>
            </w:pPr>
            <w:r>
              <w:rPr>
                <w:rFonts w:hint="eastAsia"/>
                <w:b/>
                <w:color w:val="000000" w:themeColor="text1"/>
                <w:sz w:val="20"/>
                <w:szCs w:val="20"/>
              </w:rPr>
              <w:t>外部信息的接收、成文并答复的情况（E、S填写）：进行接收、答复，但未进行记录。</w:t>
            </w:r>
          </w:p>
          <w:p>
            <w:pPr>
              <w:spacing w:line="240" w:lineRule="exact"/>
              <w:rPr>
                <w:b/>
                <w:color w:val="000000" w:themeColor="text1"/>
                <w:sz w:val="20"/>
                <w:szCs w:val="20"/>
              </w:rPr>
            </w:pPr>
            <w:r>
              <w:rPr>
                <w:rFonts w:hint="eastAsia"/>
                <w:b/>
                <w:color w:val="000000" w:themeColor="text1"/>
                <w:sz w:val="20"/>
                <w:szCs w:val="20"/>
              </w:rPr>
              <w:t>重要环境因素信息对外交流情况（EMS填写）：未对相关方进行了书面告知，开具不符合报告。</w:t>
            </w:r>
          </w:p>
          <w:p>
            <w:pPr>
              <w:spacing w:line="240" w:lineRule="exact"/>
              <w:rPr>
                <w:b/>
                <w:color w:val="000000" w:themeColor="text1"/>
                <w:sz w:val="20"/>
                <w:szCs w:val="20"/>
              </w:rPr>
            </w:pPr>
            <w:r>
              <w:rPr>
                <w:rFonts w:hint="eastAsia"/>
                <w:b/>
                <w:color w:val="000000" w:themeColor="text1"/>
                <w:sz w:val="20"/>
                <w:szCs w:val="20"/>
              </w:rPr>
              <w:t>OHSMS事务代表协商和交流的情况（OHSMS填写）：参与了管理体系文件的制定，每年召开一次员工代表会议，未保留记录。</w:t>
            </w:r>
          </w:p>
          <w:p>
            <w:pPr>
              <w:spacing w:line="240" w:lineRule="exact"/>
              <w:rPr>
                <w:rFonts w:ascii="楷体_GB2312" w:eastAsia="楷体_GB2312"/>
                <w:b/>
                <w:color w:val="000000" w:themeColor="text1"/>
                <w:szCs w:val="21"/>
              </w:rPr>
            </w:pPr>
            <w:r>
              <w:rPr>
                <w:rFonts w:hint="eastAsia"/>
                <w:b/>
                <w:color w:val="000000" w:themeColor="text1"/>
                <w:sz w:val="20"/>
                <w:szCs w:val="20"/>
              </w:rPr>
              <w:t>与相关方协商的情况（OHSMS填写）：未相关方进行了书面告知，开具不符合报告。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201" w:leftChars="42" w:hanging="100" w:hangingChars="50"/>
              <w:rPr>
                <w:b/>
                <w:color w:val="000000" w:themeColor="text1"/>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公司识别关键过程：设计过程、隐蔽工程，对特殊过程制定程序文件、管理方案、作用指导书等控制措施，有效控制。需要确认的过程：特殊防水、结构焊接，对其过程进行了重点控制，未提供确认证据，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能稳定向顾客提供较满意的产品。对顾客进行满意度调查，并进行了简要分析。</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对重要环境因素进行了识别（固体废弃物排放、火灾爆炸、噪声排放、粉尘排放、废水排放、资源浪费），控制基本有效。对周边环境影响不大，可得到有效控制。未对相关方进行了必要告知。开具不符合报告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 组织对不可接受风险实施控制的结果</w:t>
            </w: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对不可接受危险源进行了识别（塌方、倒塌事故、触电、火灾爆炸、机械伤害、高处坠落、中暑、物体打击、车辆伤害、暴雨或洪水伤害），控制基本有效。目前公司不可接受危险源对公司及周边环境影响不大，可得到有效控制。未对相关方进行了必要告知，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b/>
                <w:color w:val="000000" w:themeColor="text1"/>
                <w:spacing w:val="-4"/>
                <w:sz w:val="20"/>
                <w:szCs w:val="20"/>
              </w:rPr>
              <w:t xml:space="preserve"> </w:t>
            </w:r>
            <w:r>
              <w:rPr>
                <w:b/>
                <w:color w:val="000000" w:themeColor="text1"/>
                <w:spacing w:val="-4"/>
                <w:sz w:val="20"/>
                <w:szCs w:val="20"/>
              </w:rPr>
              <w:t xml:space="preserve">   </w:t>
            </w:r>
            <w:r>
              <w:rPr>
                <w:rFonts w:hint="eastAsia"/>
                <w:b/>
                <w:color w:val="000000" w:themeColor="text1"/>
                <w:spacing w:val="-4"/>
                <w:sz w:val="20"/>
                <w:szCs w:val="20"/>
              </w:rPr>
              <w:t>对火灾突发事件等制定了应急预案，提供了火灾“应急预案演练记录”，对演练效果进行评价。</w:t>
            </w:r>
            <w:r>
              <w:rPr>
                <w:b/>
                <w:color w:val="000000" w:themeColor="text1"/>
                <w:spacing w:val="-4"/>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.对危险化学品生产、使用、储存、运输处置，规定的执行力度(必要时);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油漆等的使用和储存等按照规定进行，未出现过事故，控制有效。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left="100" w:hanging="100" w:hangingChars="50"/>
              <w:rPr>
                <w:b/>
                <w:color w:val="000000" w:themeColor="text1"/>
                <w:sz w:val="20"/>
                <w:szCs w:val="20"/>
              </w:rPr>
            </w:pPr>
          </w:p>
          <w:p>
            <w:pPr>
              <w:spacing w:line="240" w:lineRule="exact"/>
              <w:ind w:firstLine="405"/>
              <w:rPr>
                <w:b/>
                <w:color w:val="000000" w:themeColor="text1"/>
                <w:sz w:val="20"/>
                <w:szCs w:val="20"/>
              </w:rPr>
            </w:pPr>
            <w:r>
              <w:rPr>
                <w:rFonts w:hint="eastAsia"/>
                <w:b/>
                <w:color w:val="000000" w:themeColor="text1"/>
                <w:sz w:val="20"/>
                <w:szCs w:val="20"/>
              </w:rPr>
              <w:t>对质量、环境、职业健康安全目标进行了考核，查到20</w:t>
            </w:r>
            <w:r>
              <w:rPr>
                <w:rFonts w:hint="eastAsia"/>
                <w:b/>
                <w:color w:val="000000" w:themeColor="text1"/>
                <w:sz w:val="20"/>
                <w:szCs w:val="20"/>
                <w:lang w:val="en-US" w:eastAsia="zh-CN"/>
              </w:rPr>
              <w:t>20</w:t>
            </w:r>
            <w:r>
              <w:rPr>
                <w:rFonts w:hint="eastAsia"/>
                <w:b/>
                <w:color w:val="000000" w:themeColor="text1"/>
                <w:sz w:val="20"/>
                <w:szCs w:val="20"/>
              </w:rPr>
              <w:t>年第</w:t>
            </w:r>
            <w:r>
              <w:rPr>
                <w:rFonts w:hint="eastAsia"/>
                <w:b/>
                <w:color w:val="000000" w:themeColor="text1"/>
                <w:sz w:val="20"/>
                <w:szCs w:val="20"/>
                <w:lang w:val="en-US" w:eastAsia="zh-CN"/>
              </w:rPr>
              <w:t>二</w:t>
            </w:r>
            <w:r>
              <w:rPr>
                <w:rFonts w:hint="eastAsia"/>
                <w:b/>
                <w:color w:val="000000" w:themeColor="text1"/>
                <w:sz w:val="20"/>
                <w:szCs w:val="20"/>
              </w:rPr>
              <w:t>季度公司及各部门完成情况，各项质量、环境、职业健康安全目标均已完成。</w:t>
            </w:r>
          </w:p>
          <w:p>
            <w:pPr>
              <w:spacing w:line="240" w:lineRule="exact"/>
              <w:ind w:firstLine="405"/>
              <w:rPr>
                <w:b/>
                <w:color w:val="000000" w:themeColor="text1"/>
                <w:sz w:val="20"/>
                <w:szCs w:val="20"/>
              </w:rPr>
            </w:pPr>
            <w:r>
              <w:rPr>
                <w:rFonts w:hint="eastAsia"/>
                <w:b/>
                <w:color w:val="000000" w:themeColor="text1"/>
                <w:sz w:val="20"/>
                <w:szCs w:val="20"/>
              </w:rPr>
              <w:t>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0" w:hanging="100" w:hangingChars="5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能稳定向顾客提供较满意的销售服务。对顾客进行满意度调查，并进行了简要分析。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本年度内审已按计划实施，内审策划审核方案中考虑了拟审核的过程和区域的状况和重要性，内审时间</w:t>
            </w:r>
            <w:r>
              <w:rPr>
                <w:rFonts w:hint="eastAsia"/>
                <w:b/>
                <w:color w:val="000000" w:themeColor="text1"/>
                <w:sz w:val="20"/>
                <w:szCs w:val="20"/>
                <w:lang w:val="en-US" w:eastAsia="zh-CN"/>
              </w:rPr>
              <w:t>2020年03月15日-16日</w:t>
            </w:r>
            <w:r>
              <w:rPr>
                <w:rFonts w:hint="eastAsia"/>
                <w:b/>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本年度管理评审已按计划实施，管理评审时间：20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5</w:t>
            </w:r>
            <w:r>
              <w:rPr>
                <w:rFonts w:hint="eastAsia"/>
                <w:b/>
                <w:color w:val="000000" w:themeColor="text1"/>
                <w:sz w:val="20"/>
                <w:szCs w:val="20"/>
              </w:rPr>
              <w:t>月</w:t>
            </w:r>
            <w:r>
              <w:rPr>
                <w:b/>
                <w:color w:val="000000" w:themeColor="text1"/>
                <w:sz w:val="20"/>
                <w:szCs w:val="20"/>
              </w:rPr>
              <w:t>7</w:t>
            </w:r>
            <w:r>
              <w:rPr>
                <w:rFonts w:hint="eastAsia"/>
                <w:b/>
                <w:color w:val="000000" w:themeColor="text1"/>
                <w:sz w:val="20"/>
                <w:szCs w:val="20"/>
              </w:rPr>
              <w:t>日，管理评审考虑了体系变更需求，评审了方针有效、适宜和充分。制定了改进措施，体系运行基本有效。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该公司主要污染物是固体废弃物排放、火灾爆炸、噪声排放、粉尘排放、废水排放，公司定期对防止火灾的灭火器和消防栓等设施协同物业检查有效性及固体废弃物排放、火灾爆炸、噪声排放、粉尘排放、废水排放等运行制定程序文件、管理制度等，加强检查力度等措施实施重点控制，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ind w:firstLine="405"/>
              <w:rPr>
                <w:b/>
                <w:color w:val="000000" w:themeColor="text1"/>
                <w:sz w:val="20"/>
                <w:szCs w:val="20"/>
              </w:rPr>
            </w:pPr>
            <w:r>
              <w:rPr>
                <w:rFonts w:hint="eastAsia"/>
                <w:b/>
                <w:color w:val="000000" w:themeColor="text1"/>
                <w:sz w:val="20"/>
                <w:szCs w:val="20"/>
              </w:rPr>
              <w:t>公司定期对职业健康安全管理体系运行制定程序文件、管理制度等，加强检查力度等措施实施重点控制，结果基本满足相关要求。</w:t>
            </w:r>
          </w:p>
          <w:p>
            <w:pPr>
              <w:spacing w:line="240" w:lineRule="exact"/>
              <w:ind w:firstLine="405"/>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p>
          <w:p>
            <w:pPr>
              <w:widowControl/>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 xml:space="preserve"> </w:t>
            </w:r>
            <w:r>
              <w:rPr>
                <w:b/>
                <w:color w:val="000000" w:themeColor="text1"/>
                <w:spacing w:val="-20"/>
                <w:sz w:val="20"/>
                <w:szCs w:val="20"/>
              </w:rPr>
              <w:t xml:space="preserve">     </w:t>
            </w:r>
            <w:r>
              <w:rPr>
                <w:rFonts w:hint="eastAsia"/>
                <w:b/>
                <w:color w:val="000000" w:themeColor="text1"/>
                <w:spacing w:val="-20"/>
                <w:sz w:val="20"/>
                <w:szCs w:val="20"/>
              </w:rPr>
              <w:t>提出问题已经有效整改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2"/>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经验证上次不符合EC</w:t>
            </w:r>
            <w:r>
              <w:rPr>
                <w:rFonts w:hint="eastAsia" w:ascii="宋体" w:hAnsi="宋体"/>
                <w:b/>
                <w:szCs w:val="21"/>
              </w:rPr>
              <w:t>8</w:t>
            </w:r>
            <w:r>
              <w:rPr>
                <w:rFonts w:ascii="宋体" w:hAnsi="宋体"/>
                <w:b/>
                <w:szCs w:val="21"/>
              </w:rPr>
              <w:t>.4</w:t>
            </w:r>
            <w:r>
              <w:rPr>
                <w:rFonts w:hint="eastAsia" w:ascii="宋体" w:hAnsi="宋体"/>
                <w:b/>
                <w:szCs w:val="21"/>
              </w:rPr>
              <w:t>.2</w:t>
            </w:r>
            <w:r>
              <w:rPr>
                <w:rFonts w:hint="eastAsia" w:ascii="宋体" w:hAnsi="宋体"/>
                <w:b/>
                <w:szCs w:val="21"/>
                <w:lang w:val="en-US" w:eastAsia="zh-CN"/>
              </w:rPr>
              <w:t>/</w:t>
            </w:r>
            <w:r>
              <w:rPr>
                <w:rFonts w:hint="eastAsia" w:ascii="宋体" w:hAnsi="宋体"/>
                <w:b/>
                <w:szCs w:val="21"/>
              </w:rPr>
              <w:t xml:space="preserve">8.2.2 </w:t>
            </w:r>
            <w:r>
              <w:rPr>
                <w:rFonts w:hint="eastAsia" w:ascii="宋体" w:hAnsi="宋体"/>
                <w:b/>
                <w:szCs w:val="21"/>
                <w:lang w:eastAsia="zh-CN"/>
              </w:rPr>
              <w:t>、</w:t>
            </w:r>
            <w:r>
              <w:rPr>
                <w:rFonts w:hint="eastAsia" w:ascii="宋体" w:hAnsi="宋体"/>
                <w:b/>
                <w:szCs w:val="21"/>
                <w:lang w:val="en-US" w:eastAsia="zh-CN"/>
              </w:rPr>
              <w:t>E</w:t>
            </w:r>
            <w:r>
              <w:rPr>
                <w:rFonts w:hint="eastAsia" w:ascii="宋体" w:hAnsi="宋体"/>
                <w:b/>
                <w:szCs w:val="21"/>
              </w:rPr>
              <w:t>8.1</w:t>
            </w:r>
            <w:r>
              <w:rPr>
                <w:rFonts w:hint="eastAsia" w:ascii="宋体" w:hAnsi="宋体"/>
                <w:b/>
                <w:szCs w:val="21"/>
                <w:lang w:eastAsia="zh-CN"/>
              </w:rPr>
              <w:t>、</w:t>
            </w:r>
            <w:r>
              <w:rPr>
                <w:rFonts w:hint="eastAsia" w:ascii="宋体" w:hAnsi="宋体"/>
                <w:b/>
                <w:szCs w:val="21"/>
                <w:lang w:val="en-US" w:eastAsia="zh-CN"/>
              </w:rPr>
              <w:t>S</w:t>
            </w:r>
            <w:r>
              <w:rPr>
                <w:rFonts w:hint="eastAsia" w:ascii="宋体" w:hAnsi="宋体"/>
                <w:b/>
                <w:szCs w:val="21"/>
              </w:rPr>
              <w:t>4.4.6</w:t>
            </w:r>
            <w:r>
              <w:rPr>
                <w:rFonts w:hint="eastAsia" w:ascii="宋体" w:hAnsi="宋体"/>
                <w:b/>
                <w:szCs w:val="21"/>
                <w:lang w:val="en-US" w:eastAsia="zh-CN"/>
              </w:rPr>
              <w:t>未出现类似情况发生。</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lang w:eastAsia="zh-CN"/>
        </w:rPr>
        <w:t>☑</w:t>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)个严重不符合，</w:t>
      </w:r>
      <w:r>
        <w:rPr>
          <w:rFonts w:hint="eastAsia"/>
          <w:b/>
          <w:bCs/>
          <w:sz w:val="21"/>
          <w:szCs w:val="21"/>
          <w:lang w:eastAsia="zh-CN"/>
        </w:rPr>
        <w:t>☑</w:t>
      </w:r>
      <w:r>
        <w:rPr>
          <w:rFonts w:hint="eastAsia"/>
          <w:b/>
          <w:bCs/>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bookmarkStart w:id="23" w:name="_GoBack"/>
      <w:bookmarkEnd w:id="23"/>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D81B05"/>
    <w:multiLevelType w:val="singleLevel"/>
    <w:tmpl w:val="B1D81B05"/>
    <w:lvl w:ilvl="0" w:tentative="0">
      <w:start w:val="5"/>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82689"/>
    <w:rsid w:val="05582FDD"/>
    <w:rsid w:val="05FF45C8"/>
    <w:rsid w:val="0F084798"/>
    <w:rsid w:val="1018122A"/>
    <w:rsid w:val="104D0264"/>
    <w:rsid w:val="111502ED"/>
    <w:rsid w:val="11394341"/>
    <w:rsid w:val="11F74810"/>
    <w:rsid w:val="15C05856"/>
    <w:rsid w:val="15D1177E"/>
    <w:rsid w:val="18D72223"/>
    <w:rsid w:val="1E496426"/>
    <w:rsid w:val="1FB72953"/>
    <w:rsid w:val="25117E15"/>
    <w:rsid w:val="254D7104"/>
    <w:rsid w:val="29691964"/>
    <w:rsid w:val="2A2F57D8"/>
    <w:rsid w:val="321A7787"/>
    <w:rsid w:val="365C6366"/>
    <w:rsid w:val="367A0286"/>
    <w:rsid w:val="39A763F3"/>
    <w:rsid w:val="3C6B3DFE"/>
    <w:rsid w:val="3F227E84"/>
    <w:rsid w:val="407D5A17"/>
    <w:rsid w:val="45843D96"/>
    <w:rsid w:val="47DB62A3"/>
    <w:rsid w:val="480A55A8"/>
    <w:rsid w:val="4ADE7BC4"/>
    <w:rsid w:val="4BDF60D6"/>
    <w:rsid w:val="4D9F393C"/>
    <w:rsid w:val="511B0CF3"/>
    <w:rsid w:val="5238017D"/>
    <w:rsid w:val="536D1063"/>
    <w:rsid w:val="55CA28CF"/>
    <w:rsid w:val="56DA1A75"/>
    <w:rsid w:val="5961074C"/>
    <w:rsid w:val="596B2A74"/>
    <w:rsid w:val="5A8F3B2C"/>
    <w:rsid w:val="5DF10F06"/>
    <w:rsid w:val="61CA23D4"/>
    <w:rsid w:val="62855B59"/>
    <w:rsid w:val="644E636D"/>
    <w:rsid w:val="649A6B95"/>
    <w:rsid w:val="64A01050"/>
    <w:rsid w:val="64CE095D"/>
    <w:rsid w:val="664A1CF5"/>
    <w:rsid w:val="68162DCC"/>
    <w:rsid w:val="697014F3"/>
    <w:rsid w:val="6B965394"/>
    <w:rsid w:val="6B9D3C7F"/>
    <w:rsid w:val="6D2F0D15"/>
    <w:rsid w:val="7043321A"/>
    <w:rsid w:val="722F3B64"/>
    <w:rsid w:val="75931161"/>
    <w:rsid w:val="77095A26"/>
    <w:rsid w:val="7A4236EE"/>
    <w:rsid w:val="7AE57929"/>
    <w:rsid w:val="7C5977F6"/>
    <w:rsid w:val="7C743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2020-08-01T05:45:38Z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