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sz w:val="36"/>
          <w:szCs w:val="36"/>
        </w:rPr>
      </w:pPr>
      <w:r>
        <w:rPr>
          <w:rFonts w:hint="eastAsia" w:ascii="隶书" w:hAnsi="宋体" w:eastAsia="隶书"/>
          <w:bCs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738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过程与活动、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涉及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条款</w:t>
            </w:r>
          </w:p>
        </w:tc>
        <w:tc>
          <w:tcPr>
            <w:tcW w:w="10738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受审核部门：工程项目部（建筑、装修装饰在建项目）项目主管领导：常映波 陪同人员：吴天华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spacing w:before="120"/>
              <w:rPr>
                <w:szCs w:val="21"/>
              </w:rPr>
            </w:pPr>
            <w:r>
              <w:rPr>
                <w:rFonts w:hint="eastAsia"/>
                <w:szCs w:val="21"/>
              </w:rPr>
              <w:t>审核员：李凤仪  审核时间：2</w:t>
            </w:r>
            <w:r>
              <w:rPr>
                <w:szCs w:val="21"/>
              </w:rPr>
              <w:t>0</w:t>
            </w:r>
            <w:r>
              <w:rPr>
                <w:rFonts w:hint="eastAsia"/>
                <w:szCs w:val="21"/>
              </w:rPr>
              <w:t>20.08.02</w:t>
            </w:r>
          </w:p>
        </w:tc>
        <w:tc>
          <w:tcPr>
            <w:tcW w:w="851" w:type="dxa"/>
            <w:vMerge w:val="continue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spacing w:line="3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审核条款：</w:t>
            </w:r>
          </w:p>
          <w:p>
            <w:pPr>
              <w:spacing w:line="30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</w:t>
            </w:r>
            <w:r>
              <w:rPr>
                <w:rFonts w:hint="eastAsia" w:ascii="宋体" w:hAnsi="宋体"/>
                <w:b/>
                <w:bCs/>
                <w:szCs w:val="21"/>
              </w:rPr>
              <w:t>程部Q/J: 5.3（4.1/4.2）、6.2（3.2/3.3）、7.1.3（7）、7.1.4（10.5）8.1（10.2）、8.5（10.4/10.5、10.6/10.7）、</w:t>
            </w:r>
          </w:p>
          <w:p>
            <w:pPr>
              <w:spacing w:line="30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质安部Q(J)7.1.5（11.4）8.6（8.3/9.4/11.1/11.2/11.3）8.7（8.5/11.5）、10.2（12.5）</w:t>
            </w:r>
          </w:p>
          <w:p>
            <w:pPr>
              <w:spacing w:line="30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szCs w:val="21"/>
              </w:rPr>
              <w:t>E</w:t>
            </w:r>
            <w:r>
              <w:rPr>
                <w:rFonts w:hint="eastAsia" w:ascii="宋体" w:hAnsi="宋体"/>
                <w:b/>
                <w:bCs/>
                <w:szCs w:val="21"/>
              </w:rPr>
              <w:t>:</w:t>
            </w:r>
            <w:r>
              <w:rPr>
                <w:rFonts w:ascii="宋体" w:hAnsi="宋体"/>
                <w:b/>
                <w:bCs/>
                <w:szCs w:val="21"/>
              </w:rPr>
              <w:t>6.1.2/8.1/8.2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；</w:t>
            </w:r>
            <w:r>
              <w:rPr>
                <w:rFonts w:ascii="宋体" w:hAnsi="宋体"/>
                <w:b/>
                <w:bCs/>
                <w:szCs w:val="21"/>
              </w:rPr>
              <w:t>O5.3/6.2/6.1.2/8.1/8.2</w:t>
            </w:r>
          </w:p>
        </w:tc>
        <w:tc>
          <w:tcPr>
            <w:tcW w:w="851" w:type="dxa"/>
            <w:vMerge w:val="continue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Align w:val="center"/>
          </w:tcPr>
          <w:p>
            <w:pPr>
              <w:rPr>
                <w:b/>
              </w:rPr>
            </w:pPr>
            <w:r>
              <w:rPr>
                <w:rFonts w:hint="eastAsia"/>
                <w:szCs w:val="21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QJ</w:t>
            </w:r>
            <w:r>
              <w:rPr>
                <w:rFonts w:hint="eastAsia" w:ascii="宋体" w:hAnsi="宋体"/>
                <w:b/>
                <w:bCs/>
                <w:szCs w:val="21"/>
              </w:rPr>
              <w:t>5.3（4.1/4.2）、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O5.3</w:t>
            </w:r>
          </w:p>
        </w:tc>
        <w:tc>
          <w:tcPr>
            <w:tcW w:w="10738" w:type="dxa"/>
            <w:vAlign w:val="center"/>
          </w:tcPr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公司管理体系覆盖的部门包括：管理层、行政部、设计部、质安部、工程项目部、市场部、财务部，部门划分尚可。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在《管理手册》及《岗位职责和岗位任职要求》中规定了各部门及主要岗位人员的工作职责、作用、责任、权限，职责包括了标准要求的所有要求，充分适宜，上述文件通过发放的形成传达到相关部门和人员。包括各级管理者做出的相关责任的承诺等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提供管理制度文本，内容有：安全生产责任制、工程档案管理制度、质量信息管理制度等。</w:t>
            </w:r>
          </w:p>
          <w:p>
            <w:pPr>
              <w:pStyle w:val="18"/>
              <w:ind w:firstLine="420" w:firstLineChars="200"/>
              <w:rPr>
                <w:bCs w:val="0"/>
                <w:spacing w:val="0"/>
                <w:szCs w:val="21"/>
              </w:rPr>
            </w:pPr>
            <w:r>
              <w:rPr>
                <w:rFonts w:hint="eastAsia"/>
                <w:bCs w:val="0"/>
                <w:spacing w:val="0"/>
                <w:szCs w:val="21"/>
              </w:rPr>
              <w:t>经过全体员工推荐及总经理授权</w:t>
            </w:r>
            <w:r>
              <w:rPr>
                <w:rFonts w:hint="eastAsia" w:ascii="宋体" w:hAnsi="宋体"/>
                <w:szCs w:val="21"/>
              </w:rPr>
              <w:t>常映波</w:t>
            </w:r>
            <w:r>
              <w:rPr>
                <w:rFonts w:hint="eastAsia"/>
                <w:bCs w:val="0"/>
                <w:spacing w:val="0"/>
                <w:szCs w:val="21"/>
              </w:rPr>
              <w:t>为管理者代表其职责在手册中已经规定，询问员工代表马睿知道其职责并履行，就员工的劳动保险、员工体检等安全方面向管理层提出建议和意见，管理层已经采纳。</w:t>
            </w:r>
            <w:r>
              <w:rPr>
                <w:rFonts w:hint="eastAsia"/>
                <w:szCs w:val="21"/>
              </w:rPr>
              <w:t>详见各部门相关条款审核记录。</w:t>
            </w:r>
          </w:p>
        </w:tc>
        <w:tc>
          <w:tcPr>
            <w:tcW w:w="851" w:type="dxa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Align w:val="center"/>
          </w:tcPr>
          <w:p>
            <w:pPr>
              <w:rPr>
                <w:b/>
              </w:rPr>
            </w:pPr>
            <w:r>
              <w:rPr>
                <w:rFonts w:hint="eastAsia"/>
                <w:szCs w:val="21"/>
              </w:rPr>
              <w:t>目标指标</w:t>
            </w: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QJ6.2（3.2/3.3）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O6.2</w:t>
            </w:r>
          </w:p>
        </w:tc>
        <w:tc>
          <w:tcPr>
            <w:tcW w:w="10738" w:type="dxa"/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提供：质量、环境。职业健康安全目标展开表SCZX/QEO-01、质量、环境、职业健康安全目标统计表 SCZX/QEO-02、环境管理目标、指标及管理方案 SCZX/EO-11 、职业健康安全管理目标、指标及管理方案  SCZX/EO-12</w:t>
            </w:r>
          </w:p>
          <w:p>
            <w:pPr>
              <w:tabs>
                <w:tab w:val="left" w:pos="1095"/>
                <w:tab w:val="left" w:pos="1260"/>
                <w:tab w:val="left" w:pos="1980"/>
                <w:tab w:val="left" w:pos="2100"/>
                <w:tab w:val="left" w:pos="3030"/>
              </w:tabs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公司管理目标：                                          完成状况</w:t>
            </w:r>
          </w:p>
          <w:p>
            <w:pPr>
              <w:tabs>
                <w:tab w:val="left" w:pos="1095"/>
                <w:tab w:val="left" w:pos="1260"/>
                <w:tab w:val="left" w:pos="1980"/>
                <w:tab w:val="left" w:pos="2100"/>
                <w:tab w:val="left" w:pos="3030"/>
              </w:tabs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1、工程竣工一次交验合格率95%以上；                        98%</w:t>
            </w:r>
          </w:p>
          <w:p>
            <w:pPr>
              <w:tabs>
                <w:tab w:val="left" w:pos="1095"/>
                <w:tab w:val="left" w:pos="1260"/>
                <w:tab w:val="left" w:pos="1980"/>
                <w:tab w:val="left" w:pos="2100"/>
                <w:tab w:val="left" w:pos="3030"/>
              </w:tabs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、危险源整改率达</w:t>
            </w:r>
            <w:r>
              <w:rPr>
                <w:szCs w:val="21"/>
              </w:rPr>
              <w:t xml:space="preserve">100%  </w:t>
            </w:r>
            <w:r>
              <w:rPr>
                <w:rFonts w:hint="eastAsia"/>
                <w:szCs w:val="21"/>
              </w:rPr>
              <w:t>100%</w:t>
            </w:r>
          </w:p>
          <w:p>
            <w:pPr>
              <w:tabs>
                <w:tab w:val="left" w:pos="1095"/>
                <w:tab w:val="left" w:pos="1260"/>
                <w:tab w:val="left" w:pos="1980"/>
                <w:tab w:val="left" w:pos="2100"/>
                <w:tab w:val="left" w:pos="3030"/>
              </w:tabs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、特殊工种持证上岗</w:t>
            </w:r>
            <w:r>
              <w:rPr>
                <w:szCs w:val="21"/>
              </w:rPr>
              <w:t>100%</w:t>
            </w:r>
            <w:r>
              <w:rPr>
                <w:rFonts w:hint="eastAsia"/>
                <w:szCs w:val="21"/>
              </w:rPr>
              <w:t>100%</w:t>
            </w:r>
          </w:p>
          <w:p>
            <w:pPr>
              <w:tabs>
                <w:tab w:val="left" w:pos="1095"/>
                <w:tab w:val="left" w:pos="1260"/>
                <w:tab w:val="left" w:pos="1980"/>
                <w:tab w:val="left" w:pos="2100"/>
                <w:tab w:val="left" w:pos="3030"/>
              </w:tabs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、轻伤率≤</w:t>
            </w:r>
            <w:r>
              <w:rPr>
                <w:szCs w:val="21"/>
              </w:rPr>
              <w:t xml:space="preserve">5‰   </w:t>
            </w:r>
            <w:r>
              <w:rPr>
                <w:rFonts w:hint="eastAsia"/>
                <w:szCs w:val="21"/>
              </w:rPr>
              <w:t>0</w:t>
            </w:r>
          </w:p>
          <w:p>
            <w:pPr>
              <w:ind w:firstLine="420" w:firstLineChars="200"/>
              <w:rPr>
                <w:b/>
              </w:rPr>
            </w:pPr>
            <w:r>
              <w:rPr>
                <w:rFonts w:hint="eastAsia"/>
                <w:szCs w:val="21"/>
              </w:rPr>
              <w:t>对目标进行了分解，建立了各部门的分目标和指标，每季度对目标、指标进行考核，提供公司</w:t>
            </w:r>
            <w:r>
              <w:rPr>
                <w:rFonts w:hint="eastAsia" w:ascii="宋体" w:hAnsi="宋体"/>
                <w:color w:val="auto"/>
                <w:kern w:val="2"/>
                <w:szCs w:val="21"/>
              </w:rPr>
              <w:t>2020年1-6月</w:t>
            </w:r>
            <w:bookmarkStart w:id="1" w:name="_GoBack"/>
            <w:bookmarkEnd w:id="1"/>
            <w:r>
              <w:rPr>
                <w:rFonts w:hint="eastAsia"/>
                <w:szCs w:val="21"/>
              </w:rPr>
              <w:t>目标指标完成情况统计报告，在各部门审核时详细审核考核情况。</w:t>
            </w:r>
          </w:p>
        </w:tc>
        <w:tc>
          <w:tcPr>
            <w:tcW w:w="851" w:type="dxa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</w:tcPr>
          <w:p>
            <w:pPr>
              <w:adjustRightInd w:val="0"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基础设施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Q7.1.3</w:t>
            </w:r>
          </w:p>
        </w:tc>
        <w:tc>
          <w:tcPr>
            <w:tcW w:w="10738" w:type="dxa"/>
          </w:tcPr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提供解组织的项目施工图如下：</w:t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546100</wp:posOffset>
                  </wp:positionV>
                  <wp:extent cx="4184650" cy="2658745"/>
                  <wp:effectExtent l="0" t="0" r="6350" b="8255"/>
                  <wp:wrapTopAndBottom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0" cy="265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rPr>
                <w:rFonts w:ascii="宋体"/>
                <w:color w:val="000000"/>
                <w:sz w:val="20"/>
              </w:rPr>
            </w:pPr>
            <w:r>
              <w:rPr>
                <w:rFonts w:hint="eastAsia" w:ascii="宋体" w:hAnsi="宋体"/>
                <w:szCs w:val="21"/>
              </w:rPr>
              <w:t>查看现场设备有：</w:t>
            </w:r>
            <w:r>
              <w:rPr>
                <w:rFonts w:hint="eastAsia"/>
              </w:rPr>
              <w:t>挖掘机2</w:t>
            </w:r>
            <w:r>
              <w:t>60</w:t>
            </w:r>
            <w:r>
              <w:rPr>
                <w:rFonts w:hint="eastAsia" w:ascii="宋体"/>
                <w:color w:val="000000"/>
                <w:sz w:val="20"/>
              </w:rPr>
              <w:t>、</w:t>
            </w:r>
            <w:r>
              <w:rPr>
                <w:rFonts w:hint="eastAsia"/>
              </w:rPr>
              <w:t>装载机5</w:t>
            </w:r>
            <w:r>
              <w:t>0</w:t>
            </w:r>
            <w:r>
              <w:rPr>
                <w:rFonts w:hint="eastAsia"/>
              </w:rPr>
              <w:t>、运输车、</w:t>
            </w:r>
            <w:r>
              <w:rPr>
                <w:rFonts w:hint="eastAsia" w:ascii="宋体"/>
                <w:color w:val="000000"/>
                <w:sz w:val="20"/>
              </w:rPr>
              <w:t>切割机、</w:t>
            </w:r>
            <w:r>
              <w:rPr>
                <w:rFonts w:hint="eastAsia"/>
              </w:rPr>
              <w:t>搅拌机、磅秤、垂直运输设备、大铲、刨锛、瓦刀、扁子、托线板、线坠、小白线、楔形塞尺，筛子、皮数杆、小水桶、灰槽、砖夹子、扫帚</w:t>
            </w:r>
            <w:r>
              <w:rPr>
                <w:rFonts w:hint="eastAsia" w:ascii="宋体"/>
                <w:color w:val="000000"/>
                <w:sz w:val="20"/>
              </w:rPr>
              <w:t>等，其中装载机、挖掘机等工程机械为租赁机械。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特种设备：无</w:t>
            </w:r>
          </w:p>
          <w:p>
            <w:pPr>
              <w:ind w:firstLine="420" w:firstLineChars="200"/>
              <w:rPr>
                <w:rFonts w:ascii="宋体" w:hAnsi="宋体"/>
                <w:color w:val="000000" w:themeColor="text1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项目办公条件满足要求，配置有电脑、电话、打印机。现场观察办公、支持性服务设备运行正常。</w:t>
            </w:r>
          </w:p>
        </w:tc>
        <w:tc>
          <w:tcPr>
            <w:tcW w:w="851" w:type="dxa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过程运行环境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Q7.1.4</w:t>
            </w:r>
          </w:p>
        </w:tc>
        <w:tc>
          <w:tcPr>
            <w:tcW w:w="10738" w:type="dxa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现场查看：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项目现场设备布置合理，通道畅通，照明设施齐全，消防设施等设施，作业场所光线较充足。项目地址位于</w:t>
            </w:r>
            <w:r>
              <w:rPr>
                <w:rFonts w:hint="eastAsia"/>
                <w:szCs w:val="21"/>
              </w:rPr>
              <w:t>成都市青白江区祥福镇青白江大道899号</w:t>
            </w:r>
            <w:r>
              <w:rPr>
                <w:rFonts w:hint="eastAsia" w:ascii="宋体" w:hAnsi="宋体"/>
                <w:szCs w:val="21"/>
              </w:rPr>
              <w:t>，工作环境符合生产需要。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</w:tcPr>
          <w:p>
            <w:pPr>
              <w:adjustRightInd w:val="0"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监视和测量资源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Q7.1.5</w:t>
            </w:r>
          </w:p>
        </w:tc>
        <w:tc>
          <w:tcPr>
            <w:tcW w:w="10738" w:type="dxa"/>
          </w:tcPr>
          <w:p>
            <w:pPr>
              <w:spacing w:line="400" w:lineRule="atLeast"/>
              <w:ind w:firstLine="210" w:firstLineChars="100"/>
            </w:pPr>
            <w:r>
              <w:rPr>
                <w:rFonts w:hint="eastAsia"/>
              </w:rPr>
              <w:t>查《计量器具台账》项目现场及检验部门均按策划的要求配置了相应的检测设备，包含水准仪、绝缘电阻测试仪、钢卷尺、直尺、电子秤等，均要求采用委外送检，校准报告详见附件。</w:t>
            </w:r>
          </w:p>
        </w:tc>
        <w:tc>
          <w:tcPr>
            <w:tcW w:w="851" w:type="dxa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环境因素评价和控制措施的确定</w:t>
            </w: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E6.1.2</w:t>
            </w:r>
          </w:p>
        </w:tc>
        <w:tc>
          <w:tcPr>
            <w:tcW w:w="10738" w:type="dxa"/>
            <w:vAlign w:val="center"/>
          </w:tcPr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在公司编制的《环境因素识别与评价控制程序》中，对环境因素识别和评价的目的、职责、工作程序和记录的要求均有明确的规定。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查《环境因素识别评价表》：已识别项目部的环境因素包括：水电消耗；消防器材的废弃；火灾的发生；施工粉尘的排放；机械油料的消耗；空压机、电焊机等噪声的排放；污水的排放；废油手套的废弃；喷涂气味的排放等，包括：水、气、声、渣（固废）、能源、资源等，考虑到环境影响、三种时态和三种状态等，但环境因素的识别过程未考虑产品的生命周期（沟通）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提供《重要环境因素清单》，其中涉及业务部的重要环境因素：废水、粉尘、噪声、固体废弃物排放，火灾爆炸、资源浪费。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评价基本合理。识别部门：项目部，审核：常映波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 xml:space="preserve">    批  准：陈柯     2020.5.23</w:t>
            </w:r>
          </w:p>
        </w:tc>
        <w:tc>
          <w:tcPr>
            <w:tcW w:w="851" w:type="dxa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危险源辨识和控制措施的确定</w:t>
            </w: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O6.1.2</w:t>
            </w:r>
          </w:p>
        </w:tc>
        <w:tc>
          <w:tcPr>
            <w:tcW w:w="10738" w:type="dxa"/>
            <w:vAlign w:val="center"/>
          </w:tcPr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该公司编制了《危险源辩识与风险评价控制程序》，对危险源辨识、风险评价和风险控制策划的目的、适用范围、职责、方法、记录的要求均有明确的要求。 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提供了《危险源识别评价表》，内容有：活动场所、危险类别、危害类别、危险发生的可能性L、损失后果C、频繁程度E、控制措施等。识别出项目部危险源有：无安全技术措施方案，未使用或不正确使用个人防护用品，特种作业人员无证作业，消防重点部位（焊接、油料场所）未配备消防器材；无临时用电方案，未逐级设置漏电保护装置，分级保护，固定式设备未使用专用开关箱，未执行“一机、一闸、一漏、一箱”的规定，配电线路的老化，破皮未包扎；施工机械无防护装置或防护装置有缺陷，维修电器带电作业等，涉及到的作业活动包括：建筑装修装饰工程、建筑工程施工等。提供“危险源辨识风险评价表”，涉及本部门的施工过程中的危险源已辨识出线路老化、短路隐患、电线漏电等情况产生的火灾、触电，物体打击、坍塌或倒塌、机械伤害、高处坠落等危险因素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提供了“需控制危险源清单”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涉及本部门的重要环境因素：塌方、倒塌事故、触电、机械伤害、高处坠落、火灾爆炸、物体打击、中暑、车辆伤害等。评价基本准确。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编制：项目部  审核：常映波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 xml:space="preserve">    批  准：陈柯     2020.5.23</w:t>
            </w:r>
          </w:p>
        </w:tc>
        <w:tc>
          <w:tcPr>
            <w:tcW w:w="851" w:type="dxa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工程施工策划及运行控制</w:t>
            </w: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QJ8</w:t>
            </w:r>
            <w:r>
              <w:rPr>
                <w:szCs w:val="21"/>
              </w:rPr>
              <w:t>.1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>10.2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8.5(10.4、10.5、10.6、10.7)/8.6（11.1、11.2、11.3）、8.7（8.5、11.5）10.2(12.5)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>8.6(</w:t>
            </w:r>
            <w:r>
              <w:rPr>
                <w:rFonts w:hint="eastAsia"/>
                <w:szCs w:val="21"/>
              </w:rPr>
              <w:t>11.1、11.2、11.3</w:t>
            </w:r>
            <w:r>
              <w:rPr>
                <w:szCs w:val="21"/>
              </w:rPr>
              <w:t>)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装修装饰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szCs w:val="21"/>
              </w:rPr>
              <w:t>Q</w:t>
            </w:r>
            <w:r>
              <w:rPr>
                <w:rFonts w:hint="eastAsia"/>
                <w:szCs w:val="21"/>
              </w:rPr>
              <w:t>8</w:t>
            </w:r>
            <w:r>
              <w:rPr>
                <w:szCs w:val="21"/>
              </w:rPr>
              <w:t>.5.2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J:8.4.2/8.4.4/10.5.3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szCs w:val="21"/>
              </w:rPr>
              <w:t>Q:8.5.3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J:8.5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szCs w:val="21"/>
              </w:rPr>
              <w:t>Q:8.5.4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J:8.4.1/8.4.2/8.4.3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主要负责体育中心标准运动场（看台及运动场基层），有施工任务书项目部负责人及技术负责人，担任项目部经历及技术负责人。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面谈人员：项目负责人常映波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项目部根据项目成交通知书，合同书，组建项目部。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在建项目（含建筑、装修装饰）：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四川建筑职业技术学院成都校区体育中心标准运动场工程项目（看台及运动场基层）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工程名称：四川建筑职业技术学院成都校区体育中心标准运动场工程项目（看台及运动场基层）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建设单位：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四川职业技术学院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设计单位：  四川建院建筑设计有限公司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施工单位：</w:t>
            </w:r>
            <w:r>
              <w:rPr>
                <w:rFonts w:hint="eastAsia"/>
                <w:szCs w:val="21"/>
              </w:rPr>
              <w:tab/>
            </w:r>
            <w:bookmarkStart w:id="0" w:name="组织名称"/>
            <w:r>
              <w:rPr>
                <w:rFonts w:hint="eastAsia"/>
                <w:szCs w:val="21"/>
              </w:rPr>
              <w:t>四川正翔建筑装饰工程有限公司</w:t>
            </w:r>
            <w:bookmarkEnd w:id="0"/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监理单位：  四川省建大正信建设管理有限公司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项目经理：常映波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技术负责人：</w:t>
            </w:r>
            <w:r>
              <w:rPr>
                <w:rFonts w:hint="eastAsia" w:asciiTheme="minorEastAsia" w:hAnsiTheme="minorEastAsia" w:eastAsiaTheme="minorEastAsia"/>
                <w:kern w:val="0"/>
              </w:rPr>
              <w:t>陈柯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合同签订日期：</w:t>
            </w:r>
            <w:r>
              <w:rPr>
                <w:szCs w:val="21"/>
              </w:rPr>
              <w:t>201</w:t>
            </w:r>
            <w:r>
              <w:rPr>
                <w:rFonts w:hint="eastAsia"/>
                <w:szCs w:val="21"/>
              </w:rPr>
              <w:t>9</w:t>
            </w:r>
            <w:r>
              <w:rPr>
                <w:szCs w:val="21"/>
              </w:rPr>
              <w:t>年</w:t>
            </w:r>
            <w:r>
              <w:rPr>
                <w:rFonts w:hint="eastAsia"/>
                <w:szCs w:val="21"/>
              </w:rPr>
              <w:t>12</w:t>
            </w:r>
            <w:r>
              <w:rPr>
                <w:szCs w:val="21"/>
              </w:rPr>
              <w:t>月</w:t>
            </w:r>
            <w:r>
              <w:rPr>
                <w:rFonts w:hint="eastAsia"/>
                <w:szCs w:val="21"/>
              </w:rPr>
              <w:t>05日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计划竣工时间</w:t>
            </w:r>
            <w:r>
              <w:rPr>
                <w:szCs w:val="21"/>
              </w:rPr>
              <w:t>:20</w:t>
            </w:r>
            <w:r>
              <w:rPr>
                <w:rFonts w:hint="eastAsia"/>
                <w:szCs w:val="21"/>
              </w:rPr>
              <w:t>20</w:t>
            </w:r>
            <w:r>
              <w:rPr>
                <w:szCs w:val="21"/>
              </w:rPr>
              <w:t>年</w:t>
            </w:r>
            <w:r>
              <w:rPr>
                <w:rFonts w:hint="eastAsia"/>
                <w:szCs w:val="21"/>
              </w:rPr>
              <w:t>8</w:t>
            </w:r>
            <w:r>
              <w:rPr>
                <w:szCs w:val="21"/>
              </w:rPr>
              <w:t>月</w:t>
            </w:r>
            <w:r>
              <w:rPr>
                <w:rFonts w:hint="eastAsia"/>
                <w:szCs w:val="21"/>
              </w:rPr>
              <w:t>22</w:t>
            </w:r>
            <w:r>
              <w:rPr>
                <w:szCs w:val="21"/>
              </w:rPr>
              <w:t>日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工程地点：成都市青白江区祥福镇青白江大道899号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工程内容：施工图及工程量清单范围内的内容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资金来源：财政资金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工程主要内容：体育中心标准运动场工程项目（看台及运动场基层）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现场查看流程：</w:t>
            </w:r>
          </w:p>
          <w:p>
            <w:pPr>
              <w:rPr>
                <w:szCs w:val="21"/>
              </w:rPr>
            </w:pPr>
            <w:r>
              <w:rPr>
                <w:rFonts w:hint="eastAsia" w:ascii="宋体"/>
                <w:szCs w:val="21"/>
              </w:rPr>
              <w:t>1、装饰装修工艺流程：</w:t>
            </w:r>
            <w:r>
              <w:rPr>
                <w:rFonts w:hint="eastAsia"/>
                <w:szCs w:val="21"/>
              </w:rPr>
              <w:t>施工准备--基础工程--主体工程--门窗安装--内外粉刷--楼地面--清理验收—交付及交付后活动；</w:t>
            </w:r>
          </w:p>
          <w:p>
            <w:pPr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2、建筑工艺流程：</w:t>
            </w:r>
            <w:r>
              <w:rPr>
                <w:rFonts w:hint="eastAsia"/>
                <w:szCs w:val="21"/>
              </w:rPr>
              <w:t>施工准备</w:t>
            </w:r>
            <w:r>
              <w:rPr>
                <w:rFonts w:hint="eastAsia" w:ascii="宋体"/>
                <w:szCs w:val="21"/>
              </w:rPr>
              <w:t>—测量放线—土方开挖—底基处理—钢筋工程—混泥土工程</w:t>
            </w:r>
            <w:r>
              <w:rPr>
                <w:rFonts w:ascii="宋体"/>
                <w:szCs w:val="21"/>
              </w:rPr>
              <w:t>—</w:t>
            </w:r>
            <w:r>
              <w:rPr>
                <w:rFonts w:hint="eastAsia" w:ascii="宋体"/>
                <w:szCs w:val="21"/>
              </w:rPr>
              <w:t>其它附属工程-竣工验收</w:t>
            </w:r>
          </w:p>
          <w:p>
            <w:pPr>
              <w:rPr>
                <w:rFonts w:ascii="宋体"/>
                <w:szCs w:val="21"/>
              </w:rPr>
            </w:pPr>
            <w:r>
              <w:rPr>
                <w:rFonts w:hint="eastAsia"/>
                <w:szCs w:val="21"/>
              </w:rPr>
              <w:t>抽项目施工相关人员及持证上岗情况：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常映波：川</w:t>
            </w:r>
            <w:r>
              <w:rPr>
                <w:szCs w:val="21"/>
              </w:rPr>
              <w:t>251101253040</w:t>
            </w:r>
            <w:r>
              <w:rPr>
                <w:rFonts w:hint="eastAsia"/>
                <w:szCs w:val="21"/>
              </w:rPr>
              <w:t xml:space="preserve"> 二级建造师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项目经理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常映波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 xml:space="preserve"> 证号：</w:t>
            </w:r>
            <w:r>
              <w:rPr>
                <w:rFonts w:asciiTheme="minorEastAsia" w:hAnsiTheme="minorEastAsia" w:eastAsiaTheme="minorEastAsia"/>
                <w:kern w:val="0"/>
              </w:rPr>
              <w:t>00917385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领导项目部，组织、安排现场，在施工中对外协调甲方、监理、消防、装饰设计等单位保证工期质量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技术负责人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/>
                <w:kern w:val="0"/>
              </w:rPr>
              <w:t>陈柯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证号：</w:t>
            </w:r>
            <w:r>
              <w:rPr>
                <w:rFonts w:asciiTheme="minorEastAsia" w:hAnsiTheme="minorEastAsia" w:eastAsiaTheme="minorEastAsia"/>
                <w:kern w:val="0"/>
              </w:rPr>
              <w:t>108616</w:t>
            </w:r>
            <w:r>
              <w:rPr>
                <w:rFonts w:hint="eastAsia"/>
                <w:szCs w:val="21"/>
              </w:rPr>
              <w:t xml:space="preserve">  施工专项方案的制定，验线，技术交底，质量通病交底，关键工序的确认与监督，配合项目经理工作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施工员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/>
              </w:rPr>
              <w:t>王加勇</w:t>
            </w:r>
            <w:r>
              <w:rPr>
                <w:rFonts w:hint="eastAsia"/>
                <w:szCs w:val="21"/>
              </w:rPr>
              <w:t>证号：</w:t>
            </w:r>
            <w:r>
              <w:rPr>
                <w:rFonts w:hint="eastAsia" w:asciiTheme="minorEastAsia" w:hAnsiTheme="minorEastAsia" w:eastAsiaTheme="minorEastAsia"/>
                <w:kern w:val="0"/>
              </w:rPr>
              <w:t>51181010700041</w:t>
            </w:r>
            <w:r>
              <w:rPr>
                <w:rFonts w:hint="eastAsia"/>
                <w:szCs w:val="21"/>
              </w:rPr>
              <w:t>组织班组协调、协助项目经理进行现场管理、参与施工方案的决策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质量员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/>
              </w:rPr>
              <w:t>赵莉  证号：</w:t>
            </w:r>
            <w:r>
              <w:rPr>
                <w:rFonts w:hint="eastAsia" w:asciiTheme="minorEastAsia" w:hAnsiTheme="minorEastAsia" w:eastAsiaTheme="minorEastAsia"/>
                <w:kern w:val="0"/>
              </w:rPr>
              <w:t>51141060000926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负责项目质量管理工作，对项目质量进行监督检查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资料员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/>
                <w:kern w:val="0"/>
              </w:rPr>
              <w:t>刘惠</w:t>
            </w:r>
            <w:r>
              <w:rPr>
                <w:rFonts w:hint="eastAsia" w:asciiTheme="minorEastAsia" w:hAnsiTheme="minorEastAsia" w:eastAsiaTheme="minorEastAsia"/>
              </w:rPr>
              <w:t>证号：</w:t>
            </w:r>
            <w:r>
              <w:rPr>
                <w:rFonts w:asciiTheme="minorEastAsia" w:hAnsiTheme="minorEastAsia" w:eastAsiaTheme="minorEastAsia"/>
                <w:kern w:val="0"/>
              </w:rPr>
              <w:t>51181140600156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负责对本工程技术、质保等资料收集、整理、汇编工作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。。。。。。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公司《目标指标及管理方案控制程序》中规定了目标考核的目的、范围、责任、工作内容等，并按照管理目标管理的要求监督检查管理目标的分解、落实情况，并对实现情况进行考核。查《目标考核统计表》：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项目部的管理目标及完成情况如下：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质量目标：达到国家施工验收规范一次性合格标准。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查上述目标均已实现，基本具备了量化及可考核性。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产品执行标准：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建筑装饰装修工程质量验收规范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GB50210-2013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建筑材料放射性核素限量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GB6566-2010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建筑内部装修设计防火施工及验收规范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GB50354-2005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建筑防腐蚀工程施工及验收规范</w:t>
            </w:r>
            <w:r>
              <w:rPr>
                <w:rFonts w:hint="eastAsia"/>
                <w:szCs w:val="21"/>
              </w:rPr>
              <w:tab/>
            </w:r>
            <w:r>
              <w:rPr>
                <w:rFonts w:hint="eastAsia"/>
                <w:szCs w:val="21"/>
              </w:rPr>
              <w:t>GB50212-2014等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现场项目部提供自己设计的质量记录表。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对项目进行动态管理，目前项目工作情况如下：</w:t>
            </w:r>
          </w:p>
          <w:p>
            <w:pPr>
              <w:numPr>
                <w:ilvl w:val="0"/>
                <w:numId w:val="2"/>
              </w:numPr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t>东西看台座椅10%；</w:t>
            </w:r>
          </w:p>
          <w:p>
            <w:pPr>
              <w:numPr>
                <w:ilvl w:val="0"/>
                <w:numId w:val="2"/>
              </w:numPr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t>运动场围网30%；</w:t>
            </w:r>
          </w:p>
          <w:p>
            <w:pPr>
              <w:numPr>
                <w:ilvl w:val="0"/>
                <w:numId w:val="2"/>
              </w:numPr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t>运动场混凝土浇筑50%；</w:t>
            </w:r>
          </w:p>
          <w:p>
            <w:pPr>
              <w:numPr>
                <w:ilvl w:val="0"/>
                <w:numId w:val="2"/>
              </w:numPr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t>护栏安装20%</w:t>
            </w:r>
            <w:r>
              <w:rPr>
                <w:rFonts w:hint="eastAsia"/>
                <w:szCs w:val="21"/>
              </w:rPr>
              <w:t>。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8.5.1(</w:t>
            </w:r>
            <w:r>
              <w:rPr>
                <w:szCs w:val="21"/>
              </w:rPr>
              <w:t>10.4、10.5、10.6、10.7</w:t>
            </w:r>
            <w:r>
              <w:rPr>
                <w:rFonts w:hint="eastAsia"/>
                <w:szCs w:val="21"/>
              </w:rPr>
              <w:t>)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生产和服务提供的控制</w:t>
            </w:r>
          </w:p>
          <w:p>
            <w:pPr>
              <w:pStyle w:val="17"/>
              <w:numPr>
                <w:ilvl w:val="0"/>
                <w:numId w:val="3"/>
              </w:numPr>
              <w:ind w:firstLineChars="0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提供《工程开工报审表》明确工程名称、建设单位及准备开工日期（准备开工日期：2019年12月17日开工），施工单位项目经理常映波签字盖章，建设单位人员签字。</w:t>
            </w:r>
          </w:p>
          <w:p>
            <w:pPr>
              <w:jc w:val="left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、编制《施工计划表》项目部根据策划的安排实施施工准备，计划开工时间2019年11月22日，竣工时间2020年5月3日。计划施工天数170天，施工时间充足，计划安排基本合理。</w:t>
            </w:r>
            <w:r>
              <w:rPr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3</w:t>
            </w:r>
            <w:r>
              <w:rPr>
                <w:rFonts w:hint="eastAsia"/>
                <w:szCs w:val="21"/>
              </w:rPr>
              <w:t>、公司建立了工程项目施工质量管理制度、工程项目施工准备管理制度、施工过程管理制度、材料设备构配件进场检验及管理制度、试验和检测管理制度、施工机具管理制度等制度，由公司统一编制，项目部实施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4、</w:t>
            </w:r>
            <w:r>
              <w:rPr>
                <w:rFonts w:hint="eastAsia"/>
                <w:szCs w:val="21"/>
              </w:rPr>
              <w:t>制定了多项施工专项方案：未制定专项方案，交流。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、施工验收规范有：同前均为现行有效版本。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6、</w:t>
            </w:r>
            <w:r>
              <w:rPr>
                <w:rFonts w:hint="eastAsia"/>
                <w:szCs w:val="21"/>
              </w:rPr>
              <w:t>查设计交底和图纸会审：项目经理介绍在施工前进行了设计交底和图纸会审。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查：图纸会审：参加人员：建设单位、施工单位、设计单位、监理单位。图纸会审记录如下：</w:t>
            </w:r>
          </w:p>
          <w:p>
            <w:pPr>
              <w:rPr>
                <w:szCs w:val="21"/>
              </w:rPr>
            </w:pPr>
            <w:r>
              <w:drawing>
                <wp:inline distT="0" distB="0" distL="114300" distR="114300">
                  <wp:extent cx="5248910" cy="2970530"/>
                  <wp:effectExtent l="0" t="0" r="8890" b="127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297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4"/>
              </w:numPr>
              <w:rPr>
                <w:szCs w:val="21"/>
              </w:rPr>
            </w:pPr>
            <w:r>
              <w:rPr>
                <w:szCs w:val="21"/>
              </w:rPr>
              <w:t>技术交底：</w:t>
            </w:r>
            <w:r>
              <w:rPr>
                <w:rFonts w:hint="eastAsia"/>
                <w:szCs w:val="21"/>
              </w:rPr>
              <w:t>在开工前业主技术负责人对项目部施工班组实施了技术交底。提供交底记录。</w:t>
            </w:r>
          </w:p>
          <w:p>
            <w:pPr>
              <w:numPr>
                <w:ilvl w:val="0"/>
                <w:numId w:val="4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提供工程开工报审表、单位工程开工报告如下：</w:t>
            </w:r>
          </w:p>
          <w:p>
            <w:pPr>
              <w:rPr>
                <w:szCs w:val="21"/>
              </w:rPr>
            </w:pPr>
            <w:r>
              <w:drawing>
                <wp:inline distT="0" distB="0" distL="114300" distR="114300">
                  <wp:extent cx="3359150" cy="3762375"/>
                  <wp:effectExtent l="0" t="0" r="12700" b="952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014345" cy="3759835"/>
                  <wp:effectExtent l="0" t="0" r="14605" b="1206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45" cy="375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  <w:r>
              <w:rPr>
                <w:szCs w:val="21"/>
              </w:rPr>
              <w:t>、</w:t>
            </w:r>
            <w:r>
              <w:rPr>
                <w:rFonts w:hint="eastAsia"/>
                <w:szCs w:val="21"/>
              </w:rPr>
              <w:t>安全生产责任制及安全责状，项目部制定了安全责任制并下发项目部，公司与项目经理，项目经理与施工人员签定安全生产责任状。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10、项目部新入场工人三级安全教育汇总表，抽查电工、焊工、施工员等的三级教育登记表、登记卡等，记录清晰。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、</w:t>
            </w:r>
            <w:r>
              <w:rPr>
                <w:rFonts w:hint="eastAsia"/>
                <w:szCs w:val="21"/>
              </w:rPr>
              <w:t>查提供施工日志，登录了施工的当天工作内容、进场人数、施工项目等。相关部门的质量、安全检查、材料入场等内容。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抽1：施工日志2020年5月19日，天气晴。施工部位：外墙、看台。施工项目：贴外墙砖、做看台防水、安装看台一楼窗框，进场人数：12人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施工内容：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1、施工入场培训，安全教育</w:t>
            </w:r>
          </w:p>
          <w:p>
            <w:pPr>
              <w:numPr>
                <w:ilvl w:val="0"/>
                <w:numId w:val="3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4名工人贴东看台外墙砖；4名工人做东看台防水卷材；4名工人安装东看台一楼窗框。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抽2：施工日志2020年5月27日，天气晴。施工部位：构造柱、下水泥、做垫层。施工项目：构造柱、运动场，进场人数：16人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施工内容：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1、3名小工负责下水泥；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2、8名工人做运动场内环水沟水泥垫层；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3、5名工浇注东看台构造柱。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抽3：施工日志：2020年6月6日，天气多云。进场人数：10人。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施工内容：</w:t>
            </w:r>
          </w:p>
          <w:p>
            <w:pPr>
              <w:numPr>
                <w:ilvl w:val="0"/>
                <w:numId w:val="5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4名工人给看台立柱抹灰；</w:t>
            </w:r>
          </w:p>
          <w:p>
            <w:pPr>
              <w:numPr>
                <w:ilvl w:val="0"/>
                <w:numId w:val="5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3名工人剔除东看台商铺卷帘门构造柱突出部分，并抹灰；</w:t>
            </w:r>
          </w:p>
          <w:p>
            <w:pPr>
              <w:numPr>
                <w:ilvl w:val="0"/>
                <w:numId w:val="5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3名小工搅拌混泥土。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抽4：施工日志：2020年6月12日，天气小雨，施工项目：东看台商铺。进场人数：14人。施工内容：</w:t>
            </w:r>
          </w:p>
          <w:p>
            <w:pPr>
              <w:numPr>
                <w:ilvl w:val="0"/>
                <w:numId w:val="6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地砖铺设。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抽5：施工日志：2020年7月16日，天气晴，施工部位：东看台。进场人数：18人。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施工内容：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1、4名安装栏杆；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2、6名工人安装看台座椅；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3、8名工人安装运动场围网。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。。。。。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、</w:t>
            </w:r>
            <w:r>
              <w:rPr>
                <w:rFonts w:hint="eastAsia"/>
                <w:szCs w:val="21"/>
              </w:rPr>
              <w:t>提供项目的检验记录：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--经质检员/相关关部门检验合格或验证满足要求的工序方可转入下工序，不允许“例外放行”。以相关检查、验收、试验记录为准。公司对工程施工所用的材料采用现场验证合格证、质量证明书、检验（测）报告、查验数量和外观等方式对材料质量进行控制，对主要原材料还要根据相关要求通过复试进行进一步的质量控制。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四川建筑职业技术学院成都校区体育中心标准运动场工程项目（看台及运动场基层），包含建筑.装修装饰。</w:t>
            </w:r>
          </w:p>
          <w:p>
            <w:pPr>
              <w:rPr>
                <w:szCs w:val="21"/>
                <w:highlight w:val="yellow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（一）原材料检验：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抽1：6月10日工程材料/构配件/设备报审表：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进场材料：给水管材（含检验报告）</w:t>
            </w:r>
          </w:p>
          <w:p>
            <w:pPr>
              <w:rPr>
                <w:szCs w:val="21"/>
              </w:rPr>
            </w:pPr>
            <w:r>
              <w:drawing>
                <wp:inline distT="0" distB="0" distL="114300" distR="114300">
                  <wp:extent cx="2850515" cy="3345815"/>
                  <wp:effectExtent l="0" t="0" r="6985" b="698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334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619375" cy="3373120"/>
                  <wp:effectExtent l="0" t="0" r="9525" b="1778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37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抽2：《检测报告》，样品名称：砂石、锚固钢筋、防水卷材等</w:t>
            </w:r>
          </w:p>
          <w:p>
            <w:pPr>
              <w:rPr>
                <w:szCs w:val="21"/>
              </w:rPr>
            </w:pPr>
            <w:r>
              <w:drawing>
                <wp:inline distT="0" distB="0" distL="114300" distR="114300">
                  <wp:extent cx="3291205" cy="4104005"/>
                  <wp:effectExtent l="0" t="0" r="4445" b="10795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05" cy="410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028950" cy="4045585"/>
                  <wp:effectExtent l="0" t="0" r="0" b="1206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40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</w:p>
          <w:p>
            <w:r>
              <w:drawing>
                <wp:inline distT="0" distB="0" distL="114300" distR="114300">
                  <wp:extent cx="2992120" cy="4261485"/>
                  <wp:effectExtent l="0" t="0" r="17780" b="571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426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64155" cy="4262755"/>
                  <wp:effectExtent l="0" t="0" r="17145" b="4445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55" cy="426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（二）检验批、隐蔽工程、分项检验报告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查检验批记录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抽1：《层面卷材防水层工程检验批质量验收记录》工程名称：看台商铺  分项工程名称：卷材防潮层，施工部位：看台商铺  专业工长：</w:t>
            </w:r>
            <w:r>
              <w:rPr>
                <w:rFonts w:hint="eastAsia" w:cs="宋体" w:asciiTheme="minorEastAsia" w:hAnsiTheme="minorEastAsia" w:eastAsiaTheme="minorEastAsia"/>
              </w:rPr>
              <w:t>黄全平</w:t>
            </w:r>
            <w:r>
              <w:rPr>
                <w:rFonts w:hint="eastAsia"/>
                <w:szCs w:val="21"/>
              </w:rPr>
              <w:t> 验收结果：符合规范设计要求，质量检查员：</w:t>
            </w:r>
            <w:r>
              <w:rPr>
                <w:rFonts w:hint="eastAsia" w:asciiTheme="minorEastAsia" w:hAnsiTheme="minorEastAsia" w:eastAsiaTheme="minorEastAsia"/>
              </w:rPr>
              <w:t>赵莉</w:t>
            </w:r>
            <w:r>
              <w:rPr>
                <w:rFonts w:hint="eastAsia"/>
                <w:szCs w:val="21"/>
              </w:rPr>
              <w:t>，技术负责人：</w:t>
            </w:r>
            <w:r>
              <w:rPr>
                <w:rFonts w:hint="eastAsia" w:asciiTheme="minorEastAsia" w:hAnsiTheme="minorEastAsia" w:eastAsiaTheme="minorEastAsia"/>
                <w:kern w:val="0"/>
              </w:rPr>
              <w:t>陈柯</w:t>
            </w:r>
            <w:r>
              <w:rPr>
                <w:rFonts w:hint="eastAsia"/>
                <w:szCs w:val="21"/>
              </w:rPr>
              <w:t>，时间：2020年6月9日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抽2：《商铺隔墙工程检验批质量验收记录》工程名称：看台商铺  分项工程名称：隔墙，施工部位：商铺隔墙 专业工长：</w:t>
            </w:r>
            <w:r>
              <w:rPr>
                <w:rFonts w:hint="eastAsia" w:cs="宋体" w:asciiTheme="minorEastAsia" w:hAnsiTheme="minorEastAsia" w:eastAsiaTheme="minorEastAsia"/>
              </w:rPr>
              <w:t>黄全平</w:t>
            </w:r>
            <w:r>
              <w:rPr>
                <w:rFonts w:hint="eastAsia"/>
                <w:szCs w:val="21"/>
              </w:rPr>
              <w:t> 验收结果：符合规范设计要求，质量检查员：</w:t>
            </w:r>
            <w:r>
              <w:rPr>
                <w:rFonts w:hint="eastAsia" w:asciiTheme="minorEastAsia" w:hAnsiTheme="minorEastAsia" w:eastAsiaTheme="minorEastAsia"/>
              </w:rPr>
              <w:t>赵莉</w:t>
            </w:r>
            <w:r>
              <w:rPr>
                <w:rFonts w:hint="eastAsia"/>
                <w:szCs w:val="21"/>
              </w:rPr>
              <w:t>，技术负责人：</w:t>
            </w:r>
            <w:r>
              <w:rPr>
                <w:rFonts w:hint="eastAsia" w:asciiTheme="minorEastAsia" w:hAnsiTheme="minorEastAsia" w:eastAsiaTheme="minorEastAsia"/>
                <w:kern w:val="0"/>
              </w:rPr>
              <w:t>陈柯</w:t>
            </w:r>
            <w:r>
              <w:rPr>
                <w:rFonts w:hint="eastAsia"/>
                <w:szCs w:val="21"/>
              </w:rPr>
              <w:t>，时间：2020年4月19日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抽3：《砖砌体工程检验批质量验收记录》工程名称：同前  分项工程名称：砖砌，施工部位：右看台 专业工长：</w:t>
            </w:r>
            <w:r>
              <w:rPr>
                <w:rFonts w:hint="eastAsia" w:cs="宋体" w:asciiTheme="minorEastAsia" w:hAnsiTheme="minorEastAsia" w:eastAsiaTheme="minorEastAsia"/>
              </w:rPr>
              <w:t>刘育兵</w:t>
            </w:r>
            <w:r>
              <w:rPr>
                <w:rFonts w:hint="eastAsia"/>
                <w:szCs w:val="21"/>
              </w:rPr>
              <w:t xml:space="preserve"> 验收结果：符合规范设计要求，质量检查员：</w:t>
            </w:r>
            <w:r>
              <w:rPr>
                <w:rFonts w:hint="eastAsia" w:asciiTheme="minorEastAsia" w:hAnsiTheme="minorEastAsia" w:eastAsiaTheme="minorEastAsia"/>
              </w:rPr>
              <w:t>赵莉</w:t>
            </w:r>
            <w:r>
              <w:rPr>
                <w:rFonts w:hint="eastAsia"/>
                <w:szCs w:val="21"/>
              </w:rPr>
              <w:t>，技术负责人：</w:t>
            </w:r>
            <w:r>
              <w:rPr>
                <w:rFonts w:hint="eastAsia" w:asciiTheme="minorEastAsia" w:hAnsiTheme="minorEastAsia" w:eastAsiaTheme="minorEastAsia"/>
                <w:kern w:val="0"/>
              </w:rPr>
              <w:t>陈柯</w:t>
            </w:r>
            <w:r>
              <w:rPr>
                <w:rFonts w:hint="eastAsia"/>
                <w:szCs w:val="21"/>
              </w:rPr>
              <w:t>，时间：2020年6月23日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抽4：《一般抹灰工程检验批质量验收记录》工程名称：同前  分项工程名称：抹灰工程，施工部位：看台 专业工长：陈澜鑫  验收结果：符合规范设计要求，质量检查员：</w:t>
            </w:r>
            <w:r>
              <w:rPr>
                <w:rFonts w:hint="eastAsia" w:asciiTheme="minorEastAsia" w:hAnsiTheme="minorEastAsia" w:eastAsiaTheme="minorEastAsia"/>
              </w:rPr>
              <w:t>赵莉</w:t>
            </w:r>
            <w:r>
              <w:rPr>
                <w:rFonts w:hint="eastAsia"/>
                <w:szCs w:val="21"/>
              </w:rPr>
              <w:t>，技术负责人：</w:t>
            </w:r>
            <w:r>
              <w:rPr>
                <w:rFonts w:hint="eastAsia" w:asciiTheme="minorEastAsia" w:hAnsiTheme="minorEastAsia" w:eastAsiaTheme="minorEastAsia"/>
                <w:kern w:val="0"/>
              </w:rPr>
              <w:t>陈柯</w:t>
            </w:r>
            <w:r>
              <w:rPr>
                <w:rFonts w:hint="eastAsia"/>
                <w:szCs w:val="21"/>
              </w:rPr>
              <w:t>，时间：2020年5月18日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抽5：《整体面层（水泥砂浆面层）检验批质量验收记录》工程名称：同前  分项工程名称：水泥砂浆面层，施工部位：右看台 专业工长：陈澜鑫  验收结果：符合规范设计要求，质量检查员：</w:t>
            </w:r>
            <w:r>
              <w:rPr>
                <w:rFonts w:hint="eastAsia" w:asciiTheme="minorEastAsia" w:hAnsiTheme="minorEastAsia" w:eastAsiaTheme="minorEastAsia"/>
              </w:rPr>
              <w:t>赵莉</w:t>
            </w:r>
            <w:r>
              <w:rPr>
                <w:rFonts w:hint="eastAsia"/>
                <w:szCs w:val="21"/>
              </w:rPr>
              <w:t>，技术负责人：</w:t>
            </w:r>
            <w:r>
              <w:rPr>
                <w:rFonts w:hint="eastAsia" w:asciiTheme="minorEastAsia" w:hAnsiTheme="minorEastAsia" w:eastAsiaTheme="minorEastAsia"/>
                <w:kern w:val="0"/>
              </w:rPr>
              <w:t>陈柯</w:t>
            </w:r>
            <w:r>
              <w:rPr>
                <w:rFonts w:hint="eastAsia"/>
                <w:szCs w:val="21"/>
              </w:rPr>
              <w:t>，时间：2020年6月19日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查分项检验报告记录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抽1：卷材防水层分项工程质量验收记录，检验批次：10，质量检查员：赵莉，项目技术负责人：陈柯，监理工程师：夏建中 结论：合格，时间2020年6月9日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抽2：板块面层分项工程质量验收记录，检验批次：11，质量检查员：赵莉，项目技术负责人：陈柯，监理工程师：夏建中 结论：合格，时间2020年4月11日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抽3：支撑柱分项工程质量验收记录，检验批次：8，质量检查员：赵莉，项目技术负责人：陈柯，监理工程师：夏建中 结论：合格，时间2020年3月10日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抽4：一般抹灰分项工程质量验收记录，检验批次：14，质量检查员：赵莉，项目技术负责人：陈柯，监理工程师：夏建中 结论：合格，时间2020年5月18日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查隐蔽工程记录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抽1：《建设工程隐蔽检验记录》，分项工程名称：大体积混泥土浇注，隐蔽部位：看台商铺底面，检验结果：符合设计要求，设计单位：孙xx，监理工程师：夏建中，时间2020.3.15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抽2：《建设工程隐蔽检验记录》，分项工程名称：防水施工，隐蔽部位：看台商铺，检验结果：符合设计要求，设计单位：孙xx，监理工程师：夏建中，时间2020.5.14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szCs w:val="21"/>
              </w:rPr>
              <w:t>12、采取措施防止人为错误，采取措施防止人为错误，组建项目部是人员持证上岗，制定分部分项施工方案，施工进度计划与保证措施，质量管理体系与保证措施，质量保证措施制定对施工人员进行技术安全交底，进行三不放过教育，进行三级安全教育等，进行质量、环境和职业健康安全意识培训等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13</w:t>
            </w:r>
            <w:r>
              <w:rPr>
                <w:rFonts w:hint="eastAsia"/>
                <w:szCs w:val="21"/>
              </w:rPr>
              <w:t>、交付及交付后的活动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项目尚未交付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提供项目部质量会议记录，检查内容包括工程质量，现场安全情况、技术交底等。从检查的内容看：项目部已形成了对工程质量的监督检查的机制，且正在运行。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与项目负责人沟通，该项目需确认过程为：特殊防水、主体钢筋焊接、混泥土浇注、隐蔽工程施工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关键过程为特殊防水、主体钢筋焊接、混泥土浇注、隐蔽工程施工等。对关键过程制定作业指导书及施工方案，有效控制。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现场提供因疫情影响后的停工通知书以及复工申报表：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drawing>
                <wp:inline distT="0" distB="0" distL="114300" distR="114300">
                  <wp:extent cx="2245360" cy="2750820"/>
                  <wp:effectExtent l="0" t="0" r="2540" b="1143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19680" cy="2472055"/>
                  <wp:effectExtent l="0" t="0" r="13970" b="4445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24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 w:firstLineChars="200"/>
              <w:rPr>
                <w:szCs w:val="21"/>
                <w:highlight w:val="yellow"/>
              </w:rPr>
            </w:pPr>
          </w:p>
          <w:p>
            <w:pPr>
              <w:rPr>
                <w:szCs w:val="21"/>
              </w:rPr>
            </w:pPr>
            <w:r>
              <w:rPr>
                <w:szCs w:val="21"/>
              </w:rPr>
              <w:t>Q:8.5.2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J:8.4.2/8.4.4/10.5.3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查标识控制情况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询问相关人员，产品标识，现场有原材料标识，现阶段只有文件标识等。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追溯性标识为图纸标号和施工记录，材料进场报验单，工序报验单。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分项分部验收记录等施工记录。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szCs w:val="21"/>
              </w:rPr>
              <w:t>Q:8.5.3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J:8.5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顾客财产控制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项目经理介绍，项目部的顾客财产主要为顾客提供的工程施工有关的图纸、顾客信息等资料。项目经理介绍，无其他顾客财产。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现场查看，图纸和顾客信息相关文件资料等保管在文件柜子中，分类编号，容易查找，对顾客财产的控制符合要求。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szCs w:val="21"/>
              </w:rPr>
              <w:t>Q:8.5.4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J:8.4.1/8.4.2/8.4.3产品防护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项目部部长介绍公司编制了，管理制度汇编，对原材料、构备件、工程半成品、产品采取了严格的防护措施，并按照要求进行检查，发现违反防护措施的对相关责任人进行严格处罚。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在施工方案中编制了成品保护措施，内容包括：施工材料按施工平面布置图规定的地点分类存放；作业中使用剩余器材及现场拆下来的材料码放整齐，废料垃圾应随时清理回收，保持现场环境的整洁；施工现场要明确划分作业区、材料堆放场和生活区等。</w:t>
            </w:r>
          </w:p>
          <w:p>
            <w:pPr>
              <w:ind w:firstLine="420" w:firstLineChars="200"/>
              <w:rPr>
                <w:szCs w:val="21"/>
              </w:rPr>
            </w:pPr>
          </w:p>
        </w:tc>
        <w:tc>
          <w:tcPr>
            <w:tcW w:w="851" w:type="dxa"/>
          </w:tcPr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不合格品的控制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纠正和纠正措施</w:t>
            </w:r>
          </w:p>
          <w:p>
            <w:pPr>
              <w:rPr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Q:8.7（8</w:t>
            </w:r>
            <w:r>
              <w:rPr>
                <w:szCs w:val="21"/>
              </w:rPr>
              <w:t>.5、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0.5、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1.5</w:t>
            </w:r>
            <w:r>
              <w:rPr>
                <w:rFonts w:hint="eastAsia"/>
                <w:szCs w:val="21"/>
              </w:rPr>
              <w:t>）</w:t>
            </w:r>
            <w:r>
              <w:rPr>
                <w:szCs w:val="21"/>
              </w:rPr>
              <w:t>Q:10.2</w:t>
            </w:r>
            <w:r>
              <w:rPr>
                <w:rFonts w:hint="eastAsia"/>
                <w:szCs w:val="21"/>
              </w:rPr>
              <w:t>（1</w:t>
            </w:r>
            <w:r>
              <w:rPr>
                <w:szCs w:val="21"/>
              </w:rPr>
              <w:t>2.5</w:t>
            </w:r>
            <w:r>
              <w:rPr>
                <w:rFonts w:hint="eastAsia"/>
                <w:szCs w:val="21"/>
              </w:rPr>
              <w:t>）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EO</w:t>
            </w:r>
            <w:r>
              <w:rPr>
                <w:rFonts w:hint="eastAsia"/>
                <w:szCs w:val="21"/>
              </w:rPr>
              <w:t>10.2</w:t>
            </w:r>
          </w:p>
          <w:p>
            <w:pPr>
              <w:rPr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质量管理改进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质安部部长介绍，公司制定了《不合格品控制程序》和《纠正预防措施控制程序》，对不合格品和不符合的识别和控制有明确的规定。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对重大不合格工程产品的评审和处置，总经理负责对质量事故的奖罚和事故责任追究。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对不合格处置方法：返工、返修等。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公司对施工过程发生的不合格品，一般轻微不合格现场指出，及时整改。目前为止项目部未发生质量不合格品，一般的轻微不符合都在现场及时解决了，未发现有需要上报公司解决的不合格品。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质安部对发现的问题下达《工程整改指令单》，之后进行验证。</w:t>
            </w:r>
          </w:p>
        </w:tc>
        <w:tc>
          <w:tcPr>
            <w:tcW w:w="851" w:type="dxa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环境和职业健康安全运行控制</w:t>
            </w: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EO</w:t>
            </w:r>
            <w:r>
              <w:rPr>
                <w:szCs w:val="21"/>
              </w:rPr>
              <w:t>8.1</w:t>
            </w:r>
          </w:p>
          <w:p>
            <w:pPr>
              <w:rPr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8.1(4.4.6)运行控制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-重要环境因素的控制，依据公司的相关规定：废水管理程序、噪声管理控制程序、固体废弃物管理控制程序、扬尘控制程序、易燃、易爆、油品及化学品管理程序、环境和职业健康安全运行控制程序、员工健康管理程序、应急准备与响应控制程序等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1）施工废水控制：施工废水主要混凝土搅拌等，现场设置污水池后外排。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2）施工噪声控制：施工机械主要有空压机、电焊机机械、电锯、射钉枪等，设备管理人员按维保计划对设备进行保养，确保工作正常，合理选用施工顺序和方法，严格控制夜间施工。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）施工废气控制：施工废气产生主要在焊接、喷涂、刷漆等，项目部要求尽可能地限制废气产生，要求施工人员作业人员戴好安全帽，施工现场严禁吸烟。涂刷处理剂和胶粘剂时，戴防毒口罩和防护眼镜，外露皮肤应涂擦防护膏，操作时严禁用手直接揉擦皮肤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4）建筑垃圾控制：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固废排放：项目经理说与渣土消纳部门（环卫处）联系，由专门的运输车辆统一运到指定的垃圾站边，下角废料统一回收，集中处理，涉及废油漆稀释剂桶危险废弃物放，未提供过程控制记录，（口头交流）。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5）施工能资源管理：项目部建立了施工用水、用电及原材料消耗台帐，定期进行考核，提供材料消耗的检查记录。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--重要危险源的控制：安全管理制度、安全责任制、班组安全活动记录、环境保护管理制度、消防防火管理制度等制度。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1）物体打击和机械伤害事故预防：设备维修人员定期对各类设施机械进行维护保养，有设备安全操作规程，定期对操作人员进行安全培训和教育，发现问题立即进行整改。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2）高处坠落防护：对施工现场设置有防护栏及安全警示标识，安全员每日检查。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3）电气绝缘防护：主要有电焊机、空压机等，要求做到一机一闸一保护，并定期测试绝缘电阻。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4）电气线路防护：工地已按要求编制临时施工用电组织设计，电气线路架设规范，防护措施到位。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）安全设施及验收：进入施工现场或进入工作岗位的人员均已按要求穿戴施工防护设施，如安全帽、手套、工作服等。设置了“戴安全帽”、“文明施工”、“注意节约"警示标志、标语；查劳动防护用品发放记录：共配置安全帽、绝缘鞋、劳保手套、口罩、护目镜等劳动防护用品，有劳保用品的发放记录，包括安全帽、手套、绝缘鞋、绝缘手套等；查本工程所用安全帽、配电箱、安全网的合格证，能够提供，均符合要求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6）安全教育：安全员在各分部分项工程开工前均对施工班组进行安全技术交底，有记录及签字。抽查：安全技术交底记录，有交底人、被交底人签字。</w:t>
            </w:r>
          </w:p>
          <w:p>
            <w:pPr>
              <w:rPr>
                <w:szCs w:val="21"/>
              </w:rPr>
            </w:pPr>
            <w:r>
              <w:rPr>
                <w:szCs w:val="21"/>
              </w:rPr>
              <w:t>7</w:t>
            </w:r>
            <w:r>
              <w:rPr>
                <w:rFonts w:hint="eastAsia"/>
                <w:szCs w:val="21"/>
              </w:rPr>
              <w:t>）职业病防护：施工现场配备有防暑降温设施及清凉饮料，制定了科学合理的施工进度控制措施。定期进行职业健康体检，对特殊工种（焊工、电工）的定期体检，无职业病发生。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运行控制基本满足要求。主要由蒲强进行检查，提供检查记录。</w:t>
            </w:r>
          </w:p>
        </w:tc>
        <w:tc>
          <w:tcPr>
            <w:tcW w:w="851" w:type="dxa"/>
          </w:tcPr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7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应急准备和响应</w:t>
            </w: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EO8.2</w:t>
            </w:r>
          </w:p>
        </w:tc>
        <w:tc>
          <w:tcPr>
            <w:tcW w:w="10738" w:type="dxa"/>
            <w:vAlign w:val="center"/>
          </w:tcPr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公司制定《应急准备与响应控制程序》，预防或减少潜在安全事故或紧急情况造成的影响，对可能发生的各种重要环境危险源的紧急情况做出积极准备和响应，以减少事故造成的影响。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提供了《火灾应急预案》及《应急预案演练记录》等，包括发生火灾等紧急情况的处置和应急抢救方案等内容。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由于该项目工期比较短，项目人员在岗前进行消防安全教育，及火灾应急预案的培训，未组织火灾应急演练，口头交流。</w:t>
            </w:r>
          </w:p>
        </w:tc>
        <w:tc>
          <w:tcPr>
            <w:tcW w:w="851" w:type="dxa"/>
          </w:tcPr>
          <w:p>
            <w:pPr>
              <w:rPr>
                <w:szCs w:val="21"/>
              </w:rPr>
            </w:pPr>
          </w:p>
        </w:tc>
      </w:tr>
    </w:tbl>
    <w:p>
      <w:pPr>
        <w:rPr>
          <w:szCs w:val="21"/>
        </w:rPr>
      </w:pPr>
      <w:r>
        <w:rPr>
          <w:szCs w:val="21"/>
        </w:rPr>
        <w:ptab w:relativeTo="margin" w:alignment="center" w:leader="none"/>
      </w:r>
    </w:p>
    <w:p>
      <w:pPr>
        <w:spacing w:line="480" w:lineRule="exact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说明：不符合标注N</w:t>
      </w:r>
    </w:p>
    <w:p>
      <w:pPr>
        <w:spacing w:line="480" w:lineRule="exact"/>
        <w:jc w:val="left"/>
        <w:rPr>
          <w:rFonts w:hint="eastAsia"/>
          <w:szCs w:val="21"/>
        </w:rPr>
      </w:pPr>
    </w:p>
    <w:p>
      <w:pPr>
        <w:spacing w:line="480" w:lineRule="exact"/>
        <w:jc w:val="left"/>
        <w:rPr>
          <w:rFonts w:hint="eastAsia"/>
          <w:szCs w:val="21"/>
        </w:rPr>
      </w:pPr>
    </w:p>
    <w:p>
      <w:pPr>
        <w:spacing w:line="480" w:lineRule="exact"/>
        <w:jc w:val="left"/>
        <w:rPr>
          <w:rFonts w:hint="eastAsia"/>
          <w:szCs w:val="21"/>
        </w:rPr>
      </w:pPr>
    </w:p>
    <w:p>
      <w:pPr>
        <w:spacing w:line="480" w:lineRule="exact"/>
        <w:jc w:val="left"/>
        <w:rPr>
          <w:rFonts w:hint="eastAsia"/>
          <w:szCs w:val="21"/>
        </w:rPr>
      </w:pPr>
    </w:p>
    <w:p>
      <w:pPr>
        <w:spacing w:line="480" w:lineRule="exact"/>
        <w:jc w:val="left"/>
        <w:rPr>
          <w:rFonts w:hint="eastAsia"/>
          <w:szCs w:val="21"/>
        </w:rPr>
      </w:pPr>
    </w:p>
    <w:p>
      <w:pPr>
        <w:spacing w:line="480" w:lineRule="exact"/>
        <w:jc w:val="left"/>
        <w:rPr>
          <w:rFonts w:hint="eastAsia"/>
          <w:szCs w:val="21"/>
        </w:rPr>
      </w:pPr>
    </w:p>
    <w:p>
      <w:pPr>
        <w:spacing w:line="480" w:lineRule="exact"/>
        <w:jc w:val="left"/>
        <w:rPr>
          <w:rFonts w:hint="eastAsia"/>
          <w:szCs w:val="21"/>
        </w:rPr>
      </w:pPr>
    </w:p>
    <w:p>
      <w:pPr>
        <w:spacing w:line="480" w:lineRule="exact"/>
        <w:jc w:val="left"/>
        <w:rPr>
          <w:rFonts w:hint="eastAsia"/>
          <w:szCs w:val="21"/>
        </w:rPr>
      </w:pPr>
    </w:p>
    <w:p>
      <w:pPr>
        <w:spacing w:line="480" w:lineRule="exact"/>
        <w:jc w:val="left"/>
        <w:rPr>
          <w:rFonts w:hint="eastAsia"/>
          <w:szCs w:val="21"/>
        </w:rPr>
      </w:pPr>
    </w:p>
    <w:p>
      <w:pPr>
        <w:spacing w:line="480" w:lineRule="exact"/>
        <w:jc w:val="center"/>
        <w:rPr>
          <w:rFonts w:ascii="隶书" w:hAnsi="宋体" w:eastAsia="隶书"/>
          <w:bCs/>
          <w:sz w:val="36"/>
          <w:szCs w:val="36"/>
        </w:rPr>
      </w:pPr>
      <w:r>
        <w:rPr>
          <w:rFonts w:hint="eastAsia" w:ascii="隶书" w:hAnsi="宋体" w:eastAsia="隶书"/>
          <w:bCs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738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过程与活动、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涉及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条款</w:t>
            </w:r>
          </w:p>
        </w:tc>
        <w:tc>
          <w:tcPr>
            <w:tcW w:w="10738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受审核部门：工程项目部（建筑、装修装饰在建项目）项目主管领导：常映波 陪同人员：吴天华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spacing w:before="120"/>
              <w:rPr>
                <w:szCs w:val="21"/>
              </w:rPr>
            </w:pPr>
            <w:r>
              <w:rPr>
                <w:rFonts w:hint="eastAsia"/>
                <w:szCs w:val="21"/>
              </w:rPr>
              <w:t>审核员：李林  审核时间：2</w:t>
            </w:r>
            <w:r>
              <w:rPr>
                <w:szCs w:val="21"/>
              </w:rPr>
              <w:t>0</w:t>
            </w:r>
            <w:r>
              <w:rPr>
                <w:rFonts w:hint="eastAsia"/>
                <w:szCs w:val="21"/>
              </w:rPr>
              <w:t>20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08.02</w:t>
            </w:r>
          </w:p>
        </w:tc>
        <w:tc>
          <w:tcPr>
            <w:tcW w:w="851" w:type="dxa"/>
            <w:vMerge w:val="continue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spacing w:line="30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/>
                <w:szCs w:val="21"/>
              </w:rPr>
              <w:t>审核条款：</w:t>
            </w:r>
          </w:p>
          <w:p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E:5.3/6.2</w:t>
            </w:r>
          </w:p>
        </w:tc>
        <w:tc>
          <w:tcPr>
            <w:tcW w:w="851" w:type="dxa"/>
            <w:vMerge w:val="continue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组织的角色、职责和权限；</w:t>
            </w:r>
          </w:p>
          <w:p>
            <w:pPr>
              <w:rPr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szCs w:val="22"/>
              </w:rPr>
              <w:t>5.3</w:t>
            </w:r>
          </w:p>
        </w:tc>
        <w:tc>
          <w:tcPr>
            <w:tcW w:w="10738" w:type="dxa"/>
            <w:vAlign w:val="top"/>
          </w:tcPr>
          <w:p>
            <w:pPr>
              <w:adjustRightInd w:val="0"/>
              <w:snapToGrid w:val="0"/>
              <w:spacing w:line="400" w:lineRule="atLeast"/>
              <w:ind w:firstLine="420" w:firstLineChars="200"/>
              <w:jc w:val="lef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查《管理手册》包括了企业组织机构图、职能分配表。公司编制了《部门职责》和《岗位说明书》对总经理、管理者代表、各部门的岗位职责和权限进行了规定，内容全面合理。各部门、岗位之间通过会议、文件传阅、培训等方式相互了解职责与权限。</w:t>
            </w:r>
          </w:p>
        </w:tc>
        <w:tc>
          <w:tcPr>
            <w:tcW w:w="851" w:type="dxa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目标及其实现的策划</w:t>
            </w: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 xml:space="preserve">6.2 </w:t>
            </w:r>
          </w:p>
        </w:tc>
        <w:tc>
          <w:tcPr>
            <w:tcW w:w="10738" w:type="dxa"/>
            <w:vAlign w:val="top"/>
          </w:tcPr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环境目标：</w:t>
            </w:r>
          </w:p>
          <w:p>
            <w:pPr>
              <w:pStyle w:val="5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1、施工噪声:投诉率为0；</w:t>
            </w:r>
          </w:p>
          <w:p>
            <w:pPr>
              <w:pStyle w:val="5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2、危险废弃物统一收集、统一处理；可回收废弃物统一收集处理率100%</w:t>
            </w:r>
          </w:p>
          <w:p>
            <w:pPr>
              <w:pStyle w:val="5"/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color w:val="auto"/>
                <w:kern w:val="2"/>
                <w:szCs w:val="21"/>
              </w:rPr>
              <w:t>查《目标考核表》2020年1-6月对目标进行考核，考核情况为：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1、生活污水排放无投诉；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2、固</w:t>
            </w:r>
            <w:r>
              <w:rPr>
                <w:rFonts w:hint="eastAsia"/>
                <w:szCs w:val="21"/>
              </w:rPr>
              <w:t>危险废弃物统一收集、统一处理；可回收废弃物统一收集处理率</w:t>
            </w:r>
            <w:r>
              <w:rPr>
                <w:rFonts w:hint="eastAsia" w:ascii="宋体" w:hAnsi="宋体"/>
                <w:szCs w:val="21"/>
              </w:rPr>
              <w:t>100%；</w:t>
            </w:r>
          </w:p>
          <w:p>
            <w:pPr>
              <w:spacing w:line="40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对固废的排放等</w:t>
            </w:r>
            <w:r>
              <w:rPr>
                <w:rFonts w:hint="eastAsia" w:ascii="宋体" w:hAnsi="宋体"/>
                <w:szCs w:val="21"/>
              </w:rPr>
              <w:t>拟定有管理方案实施控制。</w:t>
            </w:r>
          </w:p>
        </w:tc>
        <w:tc>
          <w:tcPr>
            <w:tcW w:w="851" w:type="dxa"/>
          </w:tcPr>
          <w:p>
            <w:pPr>
              <w:rPr>
                <w:szCs w:val="21"/>
              </w:rPr>
            </w:pPr>
          </w:p>
        </w:tc>
      </w:tr>
    </w:tbl>
    <w:p>
      <w:pPr>
        <w:spacing w:line="480" w:lineRule="exact"/>
        <w:jc w:val="left"/>
        <w:rPr>
          <w:rFonts w:hint="eastAsia"/>
          <w:szCs w:val="21"/>
        </w:rPr>
      </w:pPr>
    </w:p>
    <w:p>
      <w:pPr>
        <w:spacing w:line="480" w:lineRule="exact"/>
        <w:jc w:val="center"/>
        <w:rPr>
          <w:rFonts w:ascii="隶书" w:hAnsi="宋体" w:eastAsia="隶书"/>
          <w:bCs/>
          <w:sz w:val="36"/>
          <w:szCs w:val="36"/>
        </w:rPr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4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1312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-1</w:t>
                </w:r>
                <w:r>
                  <w:rPr>
                    <w:sz w:val="18"/>
                    <w:szCs w:val="18"/>
                  </w:rPr>
                  <w:t>2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管理体系审核记录表(03版)</w:t>
                </w:r>
              </w:p>
            </w:txbxContent>
          </v:textbox>
        </v:shape>
      </w:pict>
    </w:r>
    <w:r>
      <w:rPr>
        <w:rStyle w:val="13"/>
        <w:rFonts w:hint="default"/>
        <w:w w:val="90"/>
      </w:rPr>
      <w:t>Beijing International Standard united Certification Co.,Ltd.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1118F8"/>
    <w:multiLevelType w:val="singleLevel"/>
    <w:tmpl w:val="9C1118F8"/>
    <w:lvl w:ilvl="0" w:tentative="0">
      <w:start w:val="7"/>
      <w:numFmt w:val="decimal"/>
      <w:suff w:val="nothing"/>
      <w:lvlText w:val="%1、"/>
      <w:lvlJc w:val="left"/>
    </w:lvl>
  </w:abstractNum>
  <w:abstractNum w:abstractNumId="1">
    <w:nsid w:val="B5EB2955"/>
    <w:multiLevelType w:val="singleLevel"/>
    <w:tmpl w:val="B5EB295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C475C4D"/>
    <w:multiLevelType w:val="singleLevel"/>
    <w:tmpl w:val="BC475C4D"/>
    <w:lvl w:ilvl="0" w:tentative="0">
      <w:start w:val="1"/>
      <w:numFmt w:val="decimal"/>
      <w:suff w:val="nothing"/>
      <w:lvlText w:val="%1，"/>
      <w:lvlJc w:val="left"/>
    </w:lvl>
  </w:abstractNum>
  <w:abstractNum w:abstractNumId="3">
    <w:nsid w:val="36D63CB4"/>
    <w:multiLevelType w:val="singleLevel"/>
    <w:tmpl w:val="36D63CB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4F01D7C"/>
    <w:multiLevelType w:val="singleLevel"/>
    <w:tmpl w:val="44F01D7C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6C0F4C1C"/>
    <w:multiLevelType w:val="multilevel"/>
    <w:tmpl w:val="6C0F4C1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04FD8"/>
    <w:rsid w:val="00013197"/>
    <w:rsid w:val="0001606D"/>
    <w:rsid w:val="000237F6"/>
    <w:rsid w:val="0003373A"/>
    <w:rsid w:val="00044244"/>
    <w:rsid w:val="00045667"/>
    <w:rsid w:val="00056487"/>
    <w:rsid w:val="00062E46"/>
    <w:rsid w:val="00086753"/>
    <w:rsid w:val="000946C2"/>
    <w:rsid w:val="000A55F4"/>
    <w:rsid w:val="000B4DB9"/>
    <w:rsid w:val="000C653A"/>
    <w:rsid w:val="000C67D3"/>
    <w:rsid w:val="000D5F7B"/>
    <w:rsid w:val="000F2C74"/>
    <w:rsid w:val="000F3978"/>
    <w:rsid w:val="000F4BA9"/>
    <w:rsid w:val="0010259E"/>
    <w:rsid w:val="00104080"/>
    <w:rsid w:val="00105CF6"/>
    <w:rsid w:val="001108DF"/>
    <w:rsid w:val="00141B0A"/>
    <w:rsid w:val="00142BCC"/>
    <w:rsid w:val="00155633"/>
    <w:rsid w:val="00160E47"/>
    <w:rsid w:val="00162C59"/>
    <w:rsid w:val="00167EDF"/>
    <w:rsid w:val="00187B04"/>
    <w:rsid w:val="001A2D7F"/>
    <w:rsid w:val="001A6075"/>
    <w:rsid w:val="001E1425"/>
    <w:rsid w:val="001E5DAB"/>
    <w:rsid w:val="001F2CBE"/>
    <w:rsid w:val="00213AB9"/>
    <w:rsid w:val="00227E9B"/>
    <w:rsid w:val="0024069D"/>
    <w:rsid w:val="002523C6"/>
    <w:rsid w:val="00261FBD"/>
    <w:rsid w:val="002666F8"/>
    <w:rsid w:val="00266C79"/>
    <w:rsid w:val="0027454E"/>
    <w:rsid w:val="00275CF7"/>
    <w:rsid w:val="00281A8B"/>
    <w:rsid w:val="0028623F"/>
    <w:rsid w:val="002A0699"/>
    <w:rsid w:val="002A3528"/>
    <w:rsid w:val="002B49EE"/>
    <w:rsid w:val="002D3004"/>
    <w:rsid w:val="002F13F7"/>
    <w:rsid w:val="00306051"/>
    <w:rsid w:val="003358E9"/>
    <w:rsid w:val="00337922"/>
    <w:rsid w:val="00340867"/>
    <w:rsid w:val="003429CC"/>
    <w:rsid w:val="00345D98"/>
    <w:rsid w:val="00361CFD"/>
    <w:rsid w:val="00380837"/>
    <w:rsid w:val="00396577"/>
    <w:rsid w:val="003A198A"/>
    <w:rsid w:val="003C0C48"/>
    <w:rsid w:val="003D31D6"/>
    <w:rsid w:val="003E5F63"/>
    <w:rsid w:val="003F1456"/>
    <w:rsid w:val="003F1998"/>
    <w:rsid w:val="00410914"/>
    <w:rsid w:val="00421015"/>
    <w:rsid w:val="00453228"/>
    <w:rsid w:val="00477698"/>
    <w:rsid w:val="00490080"/>
    <w:rsid w:val="004913AA"/>
    <w:rsid w:val="004C4E0F"/>
    <w:rsid w:val="004D01F7"/>
    <w:rsid w:val="004E50BD"/>
    <w:rsid w:val="004E746F"/>
    <w:rsid w:val="00513F73"/>
    <w:rsid w:val="00523A6D"/>
    <w:rsid w:val="00536930"/>
    <w:rsid w:val="00542053"/>
    <w:rsid w:val="0054290D"/>
    <w:rsid w:val="00547E0F"/>
    <w:rsid w:val="00562484"/>
    <w:rsid w:val="00564E53"/>
    <w:rsid w:val="00582CF9"/>
    <w:rsid w:val="00596EB9"/>
    <w:rsid w:val="005B031F"/>
    <w:rsid w:val="005B03D3"/>
    <w:rsid w:val="005C46E5"/>
    <w:rsid w:val="005C6B9C"/>
    <w:rsid w:val="005D79FA"/>
    <w:rsid w:val="005E7083"/>
    <w:rsid w:val="005E747F"/>
    <w:rsid w:val="00600C20"/>
    <w:rsid w:val="00615BF4"/>
    <w:rsid w:val="00623594"/>
    <w:rsid w:val="00642FBD"/>
    <w:rsid w:val="00644D5D"/>
    <w:rsid w:val="00644FE2"/>
    <w:rsid w:val="00655A14"/>
    <w:rsid w:val="00661190"/>
    <w:rsid w:val="006719C4"/>
    <w:rsid w:val="0067640C"/>
    <w:rsid w:val="0068771F"/>
    <w:rsid w:val="006A29EF"/>
    <w:rsid w:val="006B434D"/>
    <w:rsid w:val="006D0DC5"/>
    <w:rsid w:val="006D357E"/>
    <w:rsid w:val="006D41C0"/>
    <w:rsid w:val="006E678B"/>
    <w:rsid w:val="007039B9"/>
    <w:rsid w:val="0071438E"/>
    <w:rsid w:val="00734C0A"/>
    <w:rsid w:val="00754D8A"/>
    <w:rsid w:val="007561C6"/>
    <w:rsid w:val="007621B0"/>
    <w:rsid w:val="007757F3"/>
    <w:rsid w:val="00790A6B"/>
    <w:rsid w:val="00790B48"/>
    <w:rsid w:val="007A3780"/>
    <w:rsid w:val="007C0D43"/>
    <w:rsid w:val="007D52C0"/>
    <w:rsid w:val="007E4459"/>
    <w:rsid w:val="007E6AEB"/>
    <w:rsid w:val="007F0279"/>
    <w:rsid w:val="007F78E9"/>
    <w:rsid w:val="00813C0F"/>
    <w:rsid w:val="00823CEA"/>
    <w:rsid w:val="00832FB5"/>
    <w:rsid w:val="0084159D"/>
    <w:rsid w:val="008419F5"/>
    <w:rsid w:val="00845CD2"/>
    <w:rsid w:val="00856609"/>
    <w:rsid w:val="00876D59"/>
    <w:rsid w:val="00890064"/>
    <w:rsid w:val="008973EE"/>
    <w:rsid w:val="008B3CD9"/>
    <w:rsid w:val="008B4F6D"/>
    <w:rsid w:val="008D1F2A"/>
    <w:rsid w:val="008F4212"/>
    <w:rsid w:val="0090425B"/>
    <w:rsid w:val="009042FC"/>
    <w:rsid w:val="009301B8"/>
    <w:rsid w:val="009479D7"/>
    <w:rsid w:val="00953FF2"/>
    <w:rsid w:val="00965636"/>
    <w:rsid w:val="00971600"/>
    <w:rsid w:val="0097580C"/>
    <w:rsid w:val="009973B4"/>
    <w:rsid w:val="009A278E"/>
    <w:rsid w:val="009A68C6"/>
    <w:rsid w:val="009C28C1"/>
    <w:rsid w:val="009D7A92"/>
    <w:rsid w:val="009E16F8"/>
    <w:rsid w:val="009F779D"/>
    <w:rsid w:val="009F7EED"/>
    <w:rsid w:val="00A02AB7"/>
    <w:rsid w:val="00A04A90"/>
    <w:rsid w:val="00A20CF8"/>
    <w:rsid w:val="00A416C8"/>
    <w:rsid w:val="00A57CE2"/>
    <w:rsid w:val="00A74FCC"/>
    <w:rsid w:val="00A80636"/>
    <w:rsid w:val="00A91C7C"/>
    <w:rsid w:val="00A931AF"/>
    <w:rsid w:val="00A96BFB"/>
    <w:rsid w:val="00AA2BEE"/>
    <w:rsid w:val="00AB0A01"/>
    <w:rsid w:val="00AB4C28"/>
    <w:rsid w:val="00AF0AAB"/>
    <w:rsid w:val="00B25732"/>
    <w:rsid w:val="00B32E08"/>
    <w:rsid w:val="00B50332"/>
    <w:rsid w:val="00B51B51"/>
    <w:rsid w:val="00B51C65"/>
    <w:rsid w:val="00B76CCB"/>
    <w:rsid w:val="00B85DE1"/>
    <w:rsid w:val="00B915BF"/>
    <w:rsid w:val="00BA275A"/>
    <w:rsid w:val="00BA4C0C"/>
    <w:rsid w:val="00BB3455"/>
    <w:rsid w:val="00BB64FD"/>
    <w:rsid w:val="00BC0979"/>
    <w:rsid w:val="00BF597E"/>
    <w:rsid w:val="00C0631B"/>
    <w:rsid w:val="00C363F6"/>
    <w:rsid w:val="00C47439"/>
    <w:rsid w:val="00C51A36"/>
    <w:rsid w:val="00C51D3E"/>
    <w:rsid w:val="00C55228"/>
    <w:rsid w:val="00C831AE"/>
    <w:rsid w:val="00C83B96"/>
    <w:rsid w:val="00C84075"/>
    <w:rsid w:val="00C84C3A"/>
    <w:rsid w:val="00C901A4"/>
    <w:rsid w:val="00CA7CFC"/>
    <w:rsid w:val="00CE315A"/>
    <w:rsid w:val="00D02265"/>
    <w:rsid w:val="00D06F59"/>
    <w:rsid w:val="00D1076E"/>
    <w:rsid w:val="00D13BAD"/>
    <w:rsid w:val="00D52E47"/>
    <w:rsid w:val="00D57096"/>
    <w:rsid w:val="00D70382"/>
    <w:rsid w:val="00D77501"/>
    <w:rsid w:val="00D8388C"/>
    <w:rsid w:val="00D8677C"/>
    <w:rsid w:val="00D97177"/>
    <w:rsid w:val="00DD5BBA"/>
    <w:rsid w:val="00DF0A11"/>
    <w:rsid w:val="00DF1210"/>
    <w:rsid w:val="00E0121E"/>
    <w:rsid w:val="00E013C3"/>
    <w:rsid w:val="00E0446E"/>
    <w:rsid w:val="00E0758C"/>
    <w:rsid w:val="00E449AA"/>
    <w:rsid w:val="00E57EE7"/>
    <w:rsid w:val="00E6169A"/>
    <w:rsid w:val="00E6224C"/>
    <w:rsid w:val="00E64D32"/>
    <w:rsid w:val="00E65C82"/>
    <w:rsid w:val="00E67EA5"/>
    <w:rsid w:val="00E72D50"/>
    <w:rsid w:val="00EA3A78"/>
    <w:rsid w:val="00EA78E6"/>
    <w:rsid w:val="00EB0164"/>
    <w:rsid w:val="00EC3F6C"/>
    <w:rsid w:val="00EC6D16"/>
    <w:rsid w:val="00ED0F62"/>
    <w:rsid w:val="00EF1884"/>
    <w:rsid w:val="00EF3DAC"/>
    <w:rsid w:val="00F0271C"/>
    <w:rsid w:val="00F13424"/>
    <w:rsid w:val="00F27678"/>
    <w:rsid w:val="00F44A9B"/>
    <w:rsid w:val="00F457A7"/>
    <w:rsid w:val="00F54561"/>
    <w:rsid w:val="00F725A9"/>
    <w:rsid w:val="00F74062"/>
    <w:rsid w:val="00F842BF"/>
    <w:rsid w:val="00FB041E"/>
    <w:rsid w:val="00FC30DC"/>
    <w:rsid w:val="00FD736F"/>
    <w:rsid w:val="00FF2F2B"/>
    <w:rsid w:val="00FF5D0A"/>
    <w:rsid w:val="00FF6D9A"/>
    <w:rsid w:val="017776FD"/>
    <w:rsid w:val="02493D8A"/>
    <w:rsid w:val="025172BD"/>
    <w:rsid w:val="03180568"/>
    <w:rsid w:val="058118E1"/>
    <w:rsid w:val="05B80267"/>
    <w:rsid w:val="05EC30FA"/>
    <w:rsid w:val="0684393F"/>
    <w:rsid w:val="06D34525"/>
    <w:rsid w:val="075B0F71"/>
    <w:rsid w:val="07952CB0"/>
    <w:rsid w:val="07B86703"/>
    <w:rsid w:val="07EB2570"/>
    <w:rsid w:val="08326E6A"/>
    <w:rsid w:val="088D1AB3"/>
    <w:rsid w:val="08A54846"/>
    <w:rsid w:val="0ABA4A57"/>
    <w:rsid w:val="0CB60011"/>
    <w:rsid w:val="0D762BC9"/>
    <w:rsid w:val="0D8414E3"/>
    <w:rsid w:val="0E547327"/>
    <w:rsid w:val="0EA46431"/>
    <w:rsid w:val="0EB53096"/>
    <w:rsid w:val="0FAD536C"/>
    <w:rsid w:val="10442664"/>
    <w:rsid w:val="108219C2"/>
    <w:rsid w:val="114A0D90"/>
    <w:rsid w:val="11B55AD7"/>
    <w:rsid w:val="11B93CEE"/>
    <w:rsid w:val="11F86FC4"/>
    <w:rsid w:val="11FE7554"/>
    <w:rsid w:val="128500EC"/>
    <w:rsid w:val="15C31458"/>
    <w:rsid w:val="168C00F1"/>
    <w:rsid w:val="17880ABD"/>
    <w:rsid w:val="179224D3"/>
    <w:rsid w:val="18DE4749"/>
    <w:rsid w:val="1953405A"/>
    <w:rsid w:val="1ADE3403"/>
    <w:rsid w:val="1AE760FA"/>
    <w:rsid w:val="1BEB05A1"/>
    <w:rsid w:val="1BFA6CB4"/>
    <w:rsid w:val="1F992843"/>
    <w:rsid w:val="20975D34"/>
    <w:rsid w:val="20986CAB"/>
    <w:rsid w:val="20AF479B"/>
    <w:rsid w:val="21983FC8"/>
    <w:rsid w:val="219B7D3E"/>
    <w:rsid w:val="234548B1"/>
    <w:rsid w:val="247A6252"/>
    <w:rsid w:val="255E323D"/>
    <w:rsid w:val="26927B66"/>
    <w:rsid w:val="26D36234"/>
    <w:rsid w:val="271F56E9"/>
    <w:rsid w:val="280C0268"/>
    <w:rsid w:val="28E81853"/>
    <w:rsid w:val="2BD1686E"/>
    <w:rsid w:val="2C624C67"/>
    <w:rsid w:val="2D07388B"/>
    <w:rsid w:val="2D851C3F"/>
    <w:rsid w:val="2E092666"/>
    <w:rsid w:val="2E292A3A"/>
    <w:rsid w:val="2E5D5288"/>
    <w:rsid w:val="2F7C0DAD"/>
    <w:rsid w:val="2FDD2B6C"/>
    <w:rsid w:val="2FF6077D"/>
    <w:rsid w:val="307F136B"/>
    <w:rsid w:val="31716D26"/>
    <w:rsid w:val="32F96867"/>
    <w:rsid w:val="34646E31"/>
    <w:rsid w:val="36557283"/>
    <w:rsid w:val="36E56789"/>
    <w:rsid w:val="3857372D"/>
    <w:rsid w:val="3A14449F"/>
    <w:rsid w:val="3AC42E86"/>
    <w:rsid w:val="3BFF4047"/>
    <w:rsid w:val="3C5D7160"/>
    <w:rsid w:val="3CE05AF7"/>
    <w:rsid w:val="3CF138E7"/>
    <w:rsid w:val="3D416AD3"/>
    <w:rsid w:val="3E543EF4"/>
    <w:rsid w:val="3E7F064A"/>
    <w:rsid w:val="3F4E55B8"/>
    <w:rsid w:val="3FDD241C"/>
    <w:rsid w:val="402C688F"/>
    <w:rsid w:val="405E6FDB"/>
    <w:rsid w:val="40862D4B"/>
    <w:rsid w:val="41114DA5"/>
    <w:rsid w:val="422D5C64"/>
    <w:rsid w:val="4271462D"/>
    <w:rsid w:val="42E064CD"/>
    <w:rsid w:val="432318E0"/>
    <w:rsid w:val="43602A4F"/>
    <w:rsid w:val="43CF3DD0"/>
    <w:rsid w:val="445957C3"/>
    <w:rsid w:val="44A44BB4"/>
    <w:rsid w:val="44BA7035"/>
    <w:rsid w:val="44F92F37"/>
    <w:rsid w:val="456F367B"/>
    <w:rsid w:val="45763E45"/>
    <w:rsid w:val="45886EDA"/>
    <w:rsid w:val="45E806F1"/>
    <w:rsid w:val="4630295B"/>
    <w:rsid w:val="47CA3208"/>
    <w:rsid w:val="495C5972"/>
    <w:rsid w:val="49891099"/>
    <w:rsid w:val="49AD054E"/>
    <w:rsid w:val="4B655379"/>
    <w:rsid w:val="4BBA6AED"/>
    <w:rsid w:val="4CC63245"/>
    <w:rsid w:val="4CE56E12"/>
    <w:rsid w:val="4DEA2AE1"/>
    <w:rsid w:val="4E86109B"/>
    <w:rsid w:val="4E982ACE"/>
    <w:rsid w:val="4EF52EA9"/>
    <w:rsid w:val="4F5E17A7"/>
    <w:rsid w:val="4FCC7FC3"/>
    <w:rsid w:val="50793FB1"/>
    <w:rsid w:val="51496F53"/>
    <w:rsid w:val="52D75910"/>
    <w:rsid w:val="52F543F1"/>
    <w:rsid w:val="533E0A94"/>
    <w:rsid w:val="547D68D1"/>
    <w:rsid w:val="54864960"/>
    <w:rsid w:val="55854FE0"/>
    <w:rsid w:val="55FB01CF"/>
    <w:rsid w:val="57F11162"/>
    <w:rsid w:val="58AA5327"/>
    <w:rsid w:val="599A0F3C"/>
    <w:rsid w:val="5A001887"/>
    <w:rsid w:val="5BF2782D"/>
    <w:rsid w:val="5C522234"/>
    <w:rsid w:val="5C6627D2"/>
    <w:rsid w:val="5D694111"/>
    <w:rsid w:val="5E131480"/>
    <w:rsid w:val="5E2335F9"/>
    <w:rsid w:val="5E311A3C"/>
    <w:rsid w:val="5E5F6ED1"/>
    <w:rsid w:val="5EA12B9A"/>
    <w:rsid w:val="5F0850D1"/>
    <w:rsid w:val="5F5041D1"/>
    <w:rsid w:val="5F830CB4"/>
    <w:rsid w:val="5FDD6340"/>
    <w:rsid w:val="60E45021"/>
    <w:rsid w:val="614D5A80"/>
    <w:rsid w:val="61C11CC3"/>
    <w:rsid w:val="63493818"/>
    <w:rsid w:val="6354420D"/>
    <w:rsid w:val="642D5B19"/>
    <w:rsid w:val="64352159"/>
    <w:rsid w:val="6504271F"/>
    <w:rsid w:val="6565780D"/>
    <w:rsid w:val="661621D6"/>
    <w:rsid w:val="66BE136D"/>
    <w:rsid w:val="67670E6C"/>
    <w:rsid w:val="67D944C3"/>
    <w:rsid w:val="67E25BBD"/>
    <w:rsid w:val="67FC16AF"/>
    <w:rsid w:val="682D6E15"/>
    <w:rsid w:val="691709DE"/>
    <w:rsid w:val="6A0E389A"/>
    <w:rsid w:val="6A2170F6"/>
    <w:rsid w:val="6AED2C31"/>
    <w:rsid w:val="6B9B14DE"/>
    <w:rsid w:val="6C3721AA"/>
    <w:rsid w:val="6C971304"/>
    <w:rsid w:val="6E0B0941"/>
    <w:rsid w:val="6F235E7A"/>
    <w:rsid w:val="6F501AF1"/>
    <w:rsid w:val="6FE5306F"/>
    <w:rsid w:val="70BA7308"/>
    <w:rsid w:val="7118684F"/>
    <w:rsid w:val="71221DF5"/>
    <w:rsid w:val="715D498B"/>
    <w:rsid w:val="71F8368A"/>
    <w:rsid w:val="72030EDB"/>
    <w:rsid w:val="74413897"/>
    <w:rsid w:val="74CD2FA4"/>
    <w:rsid w:val="74F85C54"/>
    <w:rsid w:val="75D56453"/>
    <w:rsid w:val="775644A9"/>
    <w:rsid w:val="78333B20"/>
    <w:rsid w:val="795A0BAB"/>
    <w:rsid w:val="79A36B92"/>
    <w:rsid w:val="79A40D8C"/>
    <w:rsid w:val="79B04DCD"/>
    <w:rsid w:val="79F76BF2"/>
    <w:rsid w:val="7AEE1768"/>
    <w:rsid w:val="7B1A5BFB"/>
    <w:rsid w:val="7C991C01"/>
    <w:rsid w:val="7D594548"/>
    <w:rsid w:val="7D943BAC"/>
    <w:rsid w:val="7DA01E90"/>
    <w:rsid w:val="7DE262EE"/>
    <w:rsid w:val="7EB260AC"/>
    <w:rsid w:val="7F60153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0" w:semiHidden="0" w:name="Balloon Text"/>
    <w:lsdException w:qFormat="1" w:unhideWhenUsed="0" w:uiPriority="0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0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rPr>
      <w:color w:val="000000"/>
      <w:kern w:val="0"/>
      <w:szCs w:val="24"/>
    </w:rPr>
  </w:style>
  <w:style w:type="table" w:styleId="7">
    <w:name w:val="Table Grid"/>
    <w:basedOn w:val="6"/>
    <w:qFormat/>
    <w:uiPriority w:val="0"/>
    <w:rPr>
      <w:rFonts w:ascii="Lucida Sans" w:hAnsi="Lucida Sans" w:eastAsia="黑体" w:cs="Lucida San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0"/>
  </w:style>
  <w:style w:type="character" w:customStyle="1" w:styleId="10">
    <w:name w:val="页眉 Char1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1"/>
    <w:basedOn w:val="8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Char"/>
    <w:basedOn w:val="8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页眉 Char"/>
    <w:qFormat/>
    <w:uiPriority w:val="99"/>
    <w:rPr>
      <w:rFonts w:ascii="Times New Roman" w:hAnsi="Times New Roman" w:eastAsia="宋体"/>
      <w:kern w:val="2"/>
      <w:sz w:val="18"/>
    </w:rPr>
  </w:style>
  <w:style w:type="character" w:customStyle="1" w:styleId="15">
    <w:name w:val="批注框文本 字符1"/>
    <w:qFormat/>
    <w:uiPriority w:val="0"/>
    <w:rPr>
      <w:rFonts w:ascii="Times New Roman" w:hAnsi="Times New Roman" w:eastAsia="宋体" w:cs="Lucida Sans"/>
      <w:sz w:val="18"/>
      <w:szCs w:val="18"/>
    </w:rPr>
  </w:style>
  <w:style w:type="character" w:customStyle="1" w:styleId="16">
    <w:name w:val="页脚 Char"/>
    <w:qFormat/>
    <w:uiPriority w:val="99"/>
    <w:rPr>
      <w:rFonts w:ascii="Times New Roman" w:hAnsi="Times New Roman" w:eastAsia="宋体"/>
      <w:kern w:val="2"/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18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1430</Words>
  <Characters>8156</Characters>
  <Lines>67</Lines>
  <Paragraphs>19</Paragraphs>
  <TotalTime>0</TotalTime>
  <ScaleCrop>false</ScaleCrop>
  <LinksUpToDate>false</LinksUpToDate>
  <CharactersWithSpaces>9567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李凤仪</cp:lastModifiedBy>
  <dcterms:modified xsi:type="dcterms:W3CDTF">2020-08-20T14:10:36Z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