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9AC1" w14:textId="77777777" w:rsidR="00B80D92" w:rsidRDefault="00CA442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8"/>
        <w:gridCol w:w="10004"/>
        <w:gridCol w:w="1585"/>
      </w:tblGrid>
      <w:tr w:rsidR="00B80D92" w14:paraId="66B295FC" w14:textId="77777777">
        <w:trPr>
          <w:trHeight w:val="515"/>
        </w:trPr>
        <w:tc>
          <w:tcPr>
            <w:tcW w:w="2122" w:type="dxa"/>
            <w:vMerge w:val="restart"/>
            <w:vAlign w:val="center"/>
          </w:tcPr>
          <w:p w14:paraId="489BA405" w14:textId="77777777" w:rsidR="00B80D92" w:rsidRDefault="00CA442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5F03FB7" w14:textId="77777777" w:rsidR="00B80D92" w:rsidRDefault="00CA442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 w14:paraId="3CC91889" w14:textId="77777777" w:rsidR="00B80D92" w:rsidRDefault="00CA4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9BF1D6F" w14:textId="77777777" w:rsidR="00B80D92" w:rsidRDefault="00CA442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3D8E0C1" w14:textId="77777777" w:rsidR="00B80D92" w:rsidRDefault="00CA4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业务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钱胜利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sz w:val="24"/>
                <w:szCs w:val="24"/>
              </w:rPr>
              <w:t>吴樱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3232ECC8" w14:textId="77777777" w:rsidR="00B80D92" w:rsidRDefault="00CA4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B80D92" w14:paraId="60D9B11D" w14:textId="77777777">
        <w:trPr>
          <w:trHeight w:val="403"/>
        </w:trPr>
        <w:tc>
          <w:tcPr>
            <w:tcW w:w="2122" w:type="dxa"/>
            <w:vMerge/>
            <w:vAlign w:val="center"/>
          </w:tcPr>
          <w:p w14:paraId="6C30E2E0" w14:textId="77777777" w:rsidR="00B80D92" w:rsidRDefault="00B80D92"/>
        </w:tc>
        <w:tc>
          <w:tcPr>
            <w:tcW w:w="998" w:type="dxa"/>
            <w:vMerge/>
            <w:vAlign w:val="center"/>
          </w:tcPr>
          <w:p w14:paraId="2A7C8EA8" w14:textId="77777777" w:rsidR="00B80D92" w:rsidRDefault="00B80D92"/>
        </w:tc>
        <w:tc>
          <w:tcPr>
            <w:tcW w:w="10004" w:type="dxa"/>
            <w:vAlign w:val="center"/>
          </w:tcPr>
          <w:p w14:paraId="07799070" w14:textId="26F816BE" w:rsidR="00B80D92" w:rsidRDefault="00CA442F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任泽华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85" w:type="dxa"/>
            <w:vMerge/>
          </w:tcPr>
          <w:p w14:paraId="5DA6BE26" w14:textId="77777777" w:rsidR="00B80D92" w:rsidRDefault="00B80D92"/>
        </w:tc>
      </w:tr>
      <w:tr w:rsidR="00B80D92" w14:paraId="7C2C923A" w14:textId="77777777">
        <w:trPr>
          <w:trHeight w:val="516"/>
        </w:trPr>
        <w:tc>
          <w:tcPr>
            <w:tcW w:w="2122" w:type="dxa"/>
            <w:vMerge/>
            <w:vAlign w:val="center"/>
          </w:tcPr>
          <w:p w14:paraId="1A6C824D" w14:textId="77777777" w:rsidR="00B80D92" w:rsidRDefault="00B80D92"/>
        </w:tc>
        <w:tc>
          <w:tcPr>
            <w:tcW w:w="998" w:type="dxa"/>
            <w:vMerge/>
            <w:vAlign w:val="center"/>
          </w:tcPr>
          <w:p w14:paraId="4FCF7281" w14:textId="77777777" w:rsidR="00B80D92" w:rsidRDefault="00B80D92"/>
        </w:tc>
        <w:tc>
          <w:tcPr>
            <w:tcW w:w="10004" w:type="dxa"/>
            <w:vAlign w:val="center"/>
          </w:tcPr>
          <w:p w14:paraId="1A8EF063" w14:textId="0D92E6D5" w:rsidR="007E7250" w:rsidRPr="007E7250" w:rsidRDefault="00CA442F" w:rsidP="007E7250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 w:hint="eastAsia"/>
                <w:szCs w:val="21"/>
              </w:rPr>
              <w:t>QMS:5.3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 w:hint="eastAsia"/>
                <w:szCs w:val="21"/>
              </w:rPr>
              <w:t>8.2</w:t>
            </w:r>
            <w:r>
              <w:rPr>
                <w:rFonts w:ascii="宋体" w:hAnsi="宋体" w:cs="Arial" w:hint="eastAsia"/>
                <w:szCs w:val="21"/>
              </w:rPr>
              <w:t>产品和服务的要求、</w:t>
            </w:r>
            <w:r>
              <w:rPr>
                <w:rFonts w:ascii="宋体" w:hAnsi="宋体" w:cs="Arial" w:hint="eastAsia"/>
                <w:szCs w:val="21"/>
              </w:rPr>
              <w:t>8</w:t>
            </w:r>
            <w:r>
              <w:rPr>
                <w:rFonts w:ascii="宋体" w:hAnsi="宋体" w:cs="Arial"/>
                <w:szCs w:val="21"/>
              </w:rPr>
              <w:t>.5.2</w:t>
            </w:r>
            <w:r>
              <w:rPr>
                <w:rFonts w:ascii="宋体" w:hAnsi="宋体" w:cs="宋体" w:hint="eastAsia"/>
                <w:szCs w:val="21"/>
              </w:rPr>
              <w:t>标识和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追溯性、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/>
                <w:szCs w:val="21"/>
              </w:rPr>
              <w:t>.5.3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顾客或外供方财产、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szCs w:val="21"/>
              </w:rPr>
              <w:t>.5.4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防护、</w:t>
            </w:r>
            <w:r>
              <w:rPr>
                <w:rFonts w:ascii="宋体" w:hAnsi="宋体" w:cs="Arial" w:hint="eastAsia"/>
                <w:szCs w:val="21"/>
              </w:rPr>
              <w:t>8.5.5</w:t>
            </w:r>
            <w:r>
              <w:rPr>
                <w:rFonts w:ascii="宋体" w:hAnsi="宋体" w:cs="Arial" w:hint="eastAsia"/>
                <w:szCs w:val="21"/>
              </w:rPr>
              <w:t>交付后的活动、</w:t>
            </w:r>
            <w:r>
              <w:rPr>
                <w:rFonts w:ascii="宋体" w:hAnsi="宋体" w:cs="Arial" w:hint="eastAsia"/>
                <w:szCs w:val="21"/>
              </w:rPr>
              <w:t>8.5.6</w:t>
            </w:r>
            <w:r>
              <w:rPr>
                <w:rFonts w:ascii="宋体" w:hAnsi="宋体" w:cs="Arial" w:hint="eastAsia"/>
                <w:szCs w:val="21"/>
              </w:rPr>
              <w:t>生产和服务提供的更改控制、</w:t>
            </w:r>
            <w:r>
              <w:rPr>
                <w:rFonts w:ascii="宋体" w:hAnsi="宋体" w:cs="Arial" w:hint="eastAsia"/>
                <w:szCs w:val="21"/>
              </w:rPr>
              <w:t>9.1.2</w:t>
            </w:r>
            <w:r>
              <w:rPr>
                <w:rFonts w:ascii="宋体" w:hAnsi="宋体" w:cs="Arial" w:hint="eastAsia"/>
                <w:szCs w:val="21"/>
              </w:rPr>
              <w:t>顾客满意</w:t>
            </w:r>
          </w:p>
        </w:tc>
        <w:tc>
          <w:tcPr>
            <w:tcW w:w="1585" w:type="dxa"/>
            <w:vMerge/>
          </w:tcPr>
          <w:p w14:paraId="78A8BB76" w14:textId="77777777" w:rsidR="00B80D92" w:rsidRDefault="00B80D92"/>
        </w:tc>
      </w:tr>
      <w:tr w:rsidR="00B80D92" w14:paraId="5812FCF6" w14:textId="77777777">
        <w:tc>
          <w:tcPr>
            <w:tcW w:w="2122" w:type="dxa"/>
          </w:tcPr>
          <w:p w14:paraId="54F2BEB8" w14:textId="77777777" w:rsidR="00B80D92" w:rsidRDefault="00CA442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组织的岗位、职责和权限</w:t>
            </w:r>
          </w:p>
          <w:p w14:paraId="7F8B7839" w14:textId="77777777" w:rsidR="00B80D92" w:rsidRDefault="00B80D9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24902BAE" w14:textId="2C7DF263" w:rsidR="00B80D92" w:rsidRDefault="007E725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Q</w:t>
            </w:r>
            <w:r w:rsidR="00CA442F">
              <w:rPr>
                <w:rFonts w:ascii="宋体" w:cs="宋体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 w14:paraId="49E8672F" w14:textId="77777777" w:rsidR="00B80D92" w:rsidRDefault="00CA442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</w:t>
            </w:r>
            <w:r>
              <w:rPr>
                <w:rFonts w:ascii="宋体" w:hAnsi="宋体" w:cs="宋体" w:hint="eastAsia"/>
                <w:szCs w:val="21"/>
              </w:rPr>
              <w:t>部按照公司领导要求，做好公司职能和岗位的具体确定，对从事与销售有关的管理、执行和验证人员规定其职责、权限及其相互关系，以实现公司管理方针和管理目标。</w:t>
            </w:r>
          </w:p>
          <w:p w14:paraId="73CB6005" w14:textId="77777777" w:rsidR="00B80D92" w:rsidRDefault="00CA442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综合部</w:t>
            </w:r>
            <w:r>
              <w:rPr>
                <w:rFonts w:ascii="宋体" w:hAnsi="宋体" w:cs="宋体" w:hint="eastAsia"/>
                <w:szCs w:val="21"/>
              </w:rPr>
              <w:t>负责人：钱胜利。在手册中确定了</w:t>
            </w:r>
            <w:r>
              <w:rPr>
                <w:rFonts w:ascii="宋体" w:hAnsi="宋体" w:cs="宋体" w:hint="eastAsia"/>
                <w:szCs w:val="21"/>
              </w:rPr>
              <w:t>业务部</w:t>
            </w:r>
            <w:r>
              <w:rPr>
                <w:rFonts w:ascii="宋体" w:hAnsi="宋体" w:cs="宋体" w:hint="eastAsia"/>
                <w:szCs w:val="21"/>
              </w:rPr>
              <w:t>部门的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职能，人员职责、权限和相互关系。</w:t>
            </w:r>
          </w:p>
          <w:p w14:paraId="5C2F99E0" w14:textId="77777777" w:rsidR="00B80D92" w:rsidRDefault="00CA442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询问</w:t>
            </w:r>
            <w:r>
              <w:rPr>
                <w:rFonts w:ascii="宋体" w:hAnsi="宋体" w:cs="宋体" w:hint="eastAsia"/>
                <w:szCs w:val="21"/>
              </w:rPr>
              <w:t>业务部</w:t>
            </w:r>
            <w:r>
              <w:rPr>
                <w:rFonts w:ascii="宋体" w:hAnsi="宋体" w:cs="宋体" w:hint="eastAsia"/>
                <w:szCs w:val="21"/>
              </w:rPr>
              <w:t>人员，基本清楚本部门职责。</w:t>
            </w:r>
          </w:p>
          <w:p w14:paraId="292EFC2B" w14:textId="77777777" w:rsidR="00B80D92" w:rsidRDefault="00CA442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现有上述管理人员配置满足要求，配有与工作相关的电脑、打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复印机、传真机等设施。</w:t>
            </w:r>
          </w:p>
        </w:tc>
        <w:tc>
          <w:tcPr>
            <w:tcW w:w="1585" w:type="dxa"/>
          </w:tcPr>
          <w:p w14:paraId="0A8CD6A4" w14:textId="77777777" w:rsidR="00B80D92" w:rsidRDefault="00B80D92"/>
        </w:tc>
      </w:tr>
      <w:tr w:rsidR="00B80D92" w14:paraId="1781BD26" w14:textId="77777777">
        <w:trPr>
          <w:trHeight w:val="122"/>
        </w:trPr>
        <w:tc>
          <w:tcPr>
            <w:tcW w:w="2122" w:type="dxa"/>
          </w:tcPr>
          <w:p w14:paraId="308EF932" w14:textId="77777777" w:rsidR="00B80D92" w:rsidRDefault="00CA442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管理目标及其实现的策划</w:t>
            </w:r>
          </w:p>
          <w:p w14:paraId="77FAAE94" w14:textId="77777777" w:rsidR="00B80D92" w:rsidRDefault="00B80D9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 w14:paraId="482C500D" w14:textId="42FD33BA" w:rsidR="00B80D92" w:rsidRDefault="00CA442F" w:rsidP="007E725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</w:tc>
        <w:tc>
          <w:tcPr>
            <w:tcW w:w="10004" w:type="dxa"/>
            <w:vAlign w:val="center"/>
          </w:tcPr>
          <w:p w14:paraId="6707D24B" w14:textId="77777777" w:rsidR="00B80D92" w:rsidRDefault="00CA442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</w:t>
            </w:r>
            <w:r>
              <w:rPr>
                <w:rFonts w:ascii="宋体" w:hAnsi="宋体" w:cs="宋体" w:hint="eastAsia"/>
                <w:szCs w:val="21"/>
              </w:rPr>
              <w:t>司对管理体系所需的相关职能、层次和过程设定管理目标。</w:t>
            </w:r>
          </w:p>
          <w:p w14:paraId="321B83B4" w14:textId="77777777" w:rsidR="00B80D92" w:rsidRDefault="00CA442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业务部</w:t>
            </w:r>
            <w:r>
              <w:rPr>
                <w:rFonts w:ascii="宋体" w:hAnsi="宋体" w:cs="宋体" w:hint="eastAsia"/>
                <w:szCs w:val="21"/>
              </w:rPr>
              <w:t>涉及的目标及实现情况是：</w:t>
            </w:r>
          </w:p>
          <w:p w14:paraId="64985EEA" w14:textId="77777777" w:rsidR="00B80D92" w:rsidRDefault="00CA442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顾客满意率≥</w:t>
            </w:r>
            <w:r>
              <w:rPr>
                <w:rFonts w:ascii="宋体" w:hAnsi="宋体" w:cs="宋体" w:hint="eastAsia"/>
                <w:szCs w:val="21"/>
              </w:rPr>
              <w:t>95%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合同履约率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职业病发生率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业主投诉处理及时率≥</w:t>
            </w:r>
            <w:r>
              <w:rPr>
                <w:rFonts w:ascii="宋体" w:hAnsi="宋体" w:cs="宋体" w:hint="eastAsia"/>
                <w:szCs w:val="21"/>
              </w:rPr>
              <w:t>99%</w:t>
            </w:r>
          </w:p>
          <w:p w14:paraId="447E1EA2" w14:textId="77777777" w:rsidR="00B80D92" w:rsidRDefault="00CA442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目标可测量，与公司管理方针一致。有实施落实的方案，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根据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日统计结果，目标均已完成。</w:t>
            </w:r>
          </w:p>
          <w:p w14:paraId="356A0EB5" w14:textId="77777777" w:rsidR="00B80D92" w:rsidRDefault="00B80D92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 w14:paraId="40C31823" w14:textId="77777777" w:rsidR="00B80D92" w:rsidRDefault="00B80D92"/>
        </w:tc>
      </w:tr>
      <w:tr w:rsidR="00B80D92" w14:paraId="62DDBBF5" w14:textId="77777777">
        <w:trPr>
          <w:trHeight w:val="1949"/>
        </w:trPr>
        <w:tc>
          <w:tcPr>
            <w:tcW w:w="2122" w:type="dxa"/>
          </w:tcPr>
          <w:p w14:paraId="617F3F41" w14:textId="77777777" w:rsidR="00B80D92" w:rsidRDefault="00CA442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沟通</w:t>
            </w:r>
          </w:p>
        </w:tc>
        <w:tc>
          <w:tcPr>
            <w:tcW w:w="998" w:type="dxa"/>
          </w:tcPr>
          <w:p w14:paraId="69AA8850" w14:textId="05770B67" w:rsidR="00B80D92" w:rsidRDefault="007E725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="00CA442F">
              <w:rPr>
                <w:rFonts w:hint="eastAsia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 w14:paraId="4E3C4DE3" w14:textId="77777777" w:rsidR="00B80D92" w:rsidRDefault="00CA442F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公司编制并实施了《</w:t>
            </w:r>
            <w:bookmarkStart w:id="0" w:name="OLE_LINK5"/>
            <w:r>
              <w:rPr>
                <w:rFonts w:hint="eastAsia"/>
                <w:szCs w:val="21"/>
              </w:rPr>
              <w:t>信息交流管理程序</w:t>
            </w:r>
            <w:bookmarkEnd w:id="0"/>
            <w:r>
              <w:rPr>
                <w:rFonts w:hint="eastAsia"/>
                <w:szCs w:val="21"/>
              </w:rPr>
              <w:t>》，规定了职责、工作流程，包括内部沟通和外部沟通的方法和要求。</w:t>
            </w:r>
          </w:p>
          <w:p w14:paraId="7A84DBB9" w14:textId="77777777" w:rsidR="00B80D92" w:rsidRDefault="00CA442F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公司确定了质量、职业健康安全管理体系相关的内部和外部沟通，包括：沟通什么；何时沟通；与谁沟通；如何沟通；由谁负责，公司内部以口头、会议、电话、微信、</w:t>
            </w: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等形式沟通；会议有年度、季度和月度会议；沟通相关服务要求、和职业健康安全事项。</w:t>
            </w:r>
          </w:p>
          <w:p w14:paraId="55EE3560" w14:textId="77777777" w:rsidR="00B80D92" w:rsidRDefault="00CA442F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业务部与生产和质检等部门沟通交流及时有效。</w:t>
            </w:r>
          </w:p>
        </w:tc>
        <w:tc>
          <w:tcPr>
            <w:tcW w:w="1585" w:type="dxa"/>
          </w:tcPr>
          <w:p w14:paraId="2E8296BE" w14:textId="77777777" w:rsidR="00B80D92" w:rsidRDefault="00B80D92"/>
        </w:tc>
      </w:tr>
      <w:tr w:rsidR="00B80D92" w14:paraId="3D2AC3FC" w14:textId="77777777">
        <w:trPr>
          <w:trHeight w:val="1128"/>
        </w:trPr>
        <w:tc>
          <w:tcPr>
            <w:tcW w:w="2122" w:type="dxa"/>
          </w:tcPr>
          <w:p w14:paraId="6F808409" w14:textId="77777777" w:rsidR="00B80D92" w:rsidRDefault="00CA442F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产品和服务的要求</w:t>
            </w:r>
          </w:p>
        </w:tc>
        <w:tc>
          <w:tcPr>
            <w:tcW w:w="998" w:type="dxa"/>
          </w:tcPr>
          <w:p w14:paraId="30564BE6" w14:textId="06B64116" w:rsidR="00B80D92" w:rsidRDefault="007E7250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Q</w:t>
            </w:r>
            <w:r w:rsidR="00CA442F">
              <w:rPr>
                <w:rFonts w:hint="eastAsia"/>
                <w:szCs w:val="21"/>
              </w:rPr>
              <w:t>8.2</w:t>
            </w:r>
          </w:p>
        </w:tc>
        <w:tc>
          <w:tcPr>
            <w:tcW w:w="10004" w:type="dxa"/>
          </w:tcPr>
          <w:p w14:paraId="79AA8F7E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业务部</w:t>
            </w:r>
            <w:r>
              <w:rPr>
                <w:rFonts w:hint="eastAsia"/>
                <w:color w:val="000000"/>
                <w:szCs w:val="21"/>
              </w:rPr>
              <w:t>通过和客户电话联系、上门回访、邮箱联系等方式进行服务宣传，向顾客介绍服务，回答顾客的咨询，让顾客了解公司及服务情况。</w:t>
            </w:r>
            <w:r>
              <w:rPr>
                <w:rFonts w:hint="eastAsia"/>
                <w:color w:val="000000"/>
                <w:szCs w:val="21"/>
              </w:rPr>
              <w:t>业务部</w:t>
            </w:r>
            <w:r>
              <w:rPr>
                <w:rFonts w:hint="eastAsia"/>
                <w:color w:val="000000"/>
                <w:szCs w:val="21"/>
              </w:rPr>
              <w:t>负责就合同或订单的处理，合同的评审，向顾客提供符合要求的服务。每年向顾客发放满</w:t>
            </w:r>
            <w:r>
              <w:rPr>
                <w:rFonts w:hint="eastAsia"/>
                <w:color w:val="000000"/>
                <w:szCs w:val="21"/>
              </w:rPr>
              <w:t>意度调查表了解顾客的需求和期望。</w:t>
            </w:r>
          </w:p>
          <w:p w14:paraId="1F4FC5EB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公司编制的管理手册中规定了与服务有关要求的确定、评审以及更改的职责和工作流程要求。</w:t>
            </w:r>
          </w:p>
          <w:p w14:paraId="526886A3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顾客明确规定的要求：即有销售服务本身的质量要求也包括后续活动的要求。顾客没有明确规定，但预期或规定用途所必要的要求。与</w:t>
            </w:r>
            <w:r>
              <w:rPr>
                <w:rFonts w:hint="eastAsia"/>
                <w:color w:val="000000"/>
                <w:szCs w:val="21"/>
              </w:rPr>
              <w:t>家具产品</w:t>
            </w:r>
            <w:r>
              <w:rPr>
                <w:rFonts w:hint="eastAsia"/>
                <w:color w:val="000000"/>
                <w:szCs w:val="21"/>
              </w:rPr>
              <w:t>的销售服务有关的法律法规的要求及本公司附加的对顾客的责任。</w:t>
            </w:r>
          </w:p>
          <w:p w14:paraId="0F01F2E2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公司承接业务的方式主要是：通过与顾客签订合同，公司按顾客要求组织服务，并以传真等方式进行沟通、确认，并对</w:t>
            </w:r>
            <w:r>
              <w:rPr>
                <w:rFonts w:hint="eastAsia"/>
                <w:color w:val="000000"/>
                <w:szCs w:val="21"/>
              </w:rPr>
              <w:t>家具产品</w:t>
            </w:r>
            <w:r>
              <w:rPr>
                <w:rFonts w:hint="eastAsia"/>
                <w:color w:val="000000"/>
                <w:szCs w:val="21"/>
              </w:rPr>
              <w:t>的销售要求等给予了明确。</w:t>
            </w:r>
          </w:p>
          <w:p w14:paraId="58CF8F82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</w:t>
            </w:r>
            <w:r>
              <w:rPr>
                <w:rFonts w:hint="eastAsia"/>
                <w:color w:val="000000"/>
                <w:szCs w:val="21"/>
              </w:rPr>
              <w:t>家具产品</w:t>
            </w:r>
            <w:r>
              <w:rPr>
                <w:rFonts w:hint="eastAsia"/>
                <w:color w:val="000000"/>
                <w:szCs w:val="21"/>
              </w:rPr>
              <w:t>的销售服务基本已成熟，收到合同后在公司内组织评审，没有异议</w:t>
            </w:r>
            <w:r>
              <w:rPr>
                <w:rFonts w:hint="eastAsia"/>
                <w:color w:val="000000"/>
                <w:szCs w:val="21"/>
              </w:rPr>
              <w:t>后，总经理直接在合同上签字即完成合同评审。目前承接的合同都是常规合同。</w:t>
            </w:r>
          </w:p>
          <w:p w14:paraId="2DC14C0A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公司顾客主要为</w:t>
            </w:r>
            <w:r>
              <w:rPr>
                <w:rFonts w:hint="eastAsia"/>
                <w:color w:val="000000"/>
                <w:szCs w:val="21"/>
              </w:rPr>
              <w:t>固定国内大牌家居企业，主要以</w:t>
            </w:r>
            <w:r>
              <w:rPr>
                <w:rFonts w:hint="eastAsia"/>
                <w:color w:val="000000"/>
                <w:szCs w:val="21"/>
              </w:rPr>
              <w:t>OEM</w:t>
            </w:r>
            <w:r>
              <w:rPr>
                <w:rFonts w:hint="eastAsia"/>
                <w:color w:val="000000"/>
                <w:szCs w:val="21"/>
              </w:rPr>
              <w:t>贴</w:t>
            </w:r>
            <w:proofErr w:type="gramStart"/>
            <w:r>
              <w:rPr>
                <w:rFonts w:hint="eastAsia"/>
                <w:color w:val="000000"/>
                <w:szCs w:val="21"/>
              </w:rPr>
              <w:t>牌加工</w:t>
            </w:r>
            <w:proofErr w:type="gramEnd"/>
            <w:r>
              <w:rPr>
                <w:rFonts w:hint="eastAsia"/>
                <w:color w:val="000000"/>
                <w:szCs w:val="21"/>
              </w:rPr>
              <w:t>为主，自主品牌市场较少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6B8EDEFE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抽查：</w:t>
            </w:r>
          </w:p>
          <w:p w14:paraId="630D9B6D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欧派家居集团股份有限公司，</w:t>
            </w:r>
            <w:r>
              <w:rPr>
                <w:rFonts w:hint="eastAsia"/>
                <w:color w:val="000000"/>
                <w:szCs w:val="21"/>
              </w:rPr>
              <w:t>签订销售</w:t>
            </w:r>
            <w:r>
              <w:rPr>
                <w:rFonts w:hint="eastAsia"/>
                <w:color w:val="000000"/>
                <w:szCs w:val="21"/>
              </w:rPr>
              <w:t>层板家具面料组合件，</w:t>
            </w:r>
            <w:r>
              <w:rPr>
                <w:rFonts w:hint="eastAsia"/>
                <w:color w:val="000000"/>
                <w:szCs w:val="21"/>
              </w:rPr>
              <w:t>合同规定了</w:t>
            </w:r>
            <w:r>
              <w:rPr>
                <w:rFonts w:hint="eastAsia"/>
                <w:color w:val="000000"/>
                <w:szCs w:val="21"/>
              </w:rPr>
              <w:t>产品供应和价格、质量标准及品质保证、</w:t>
            </w:r>
            <w:r>
              <w:rPr>
                <w:rFonts w:hint="eastAsia"/>
                <w:color w:val="000000"/>
                <w:szCs w:val="21"/>
              </w:rPr>
              <w:t>采购清单、验收方式、交付时间、付款方式、违约责任等条款，要求明确，</w:t>
            </w:r>
            <w:r>
              <w:rPr>
                <w:rFonts w:hint="eastAsia"/>
                <w:color w:val="000000"/>
                <w:szCs w:val="21"/>
              </w:rPr>
              <w:t>见双方公章确认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1C1086D5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杭州宁丽家居有限公司，</w:t>
            </w:r>
            <w:r>
              <w:rPr>
                <w:rFonts w:hint="eastAsia"/>
                <w:color w:val="000000"/>
                <w:szCs w:val="21"/>
              </w:rPr>
              <w:t>签订销售</w:t>
            </w:r>
            <w:r>
              <w:rPr>
                <w:rFonts w:hint="eastAsia"/>
                <w:color w:val="000000"/>
                <w:szCs w:val="21"/>
              </w:rPr>
              <w:t>木皮油漆烤漆饰面门板</w:t>
            </w:r>
            <w:r>
              <w:rPr>
                <w:rFonts w:hint="eastAsia"/>
                <w:color w:val="000000"/>
                <w:szCs w:val="21"/>
              </w:rPr>
              <w:t>订货合同，合同规定了</w:t>
            </w:r>
            <w:r>
              <w:rPr>
                <w:rFonts w:hint="eastAsia"/>
                <w:color w:val="000000"/>
                <w:szCs w:val="21"/>
              </w:rPr>
              <w:t>产品供应和价格、质量标准及品质保证、</w:t>
            </w:r>
            <w:r>
              <w:rPr>
                <w:rFonts w:hint="eastAsia"/>
                <w:color w:val="000000"/>
                <w:szCs w:val="21"/>
              </w:rPr>
              <w:t>采购清单、验收方式、交付时间、付款方式、违约责任等条款，要求明确，</w:t>
            </w:r>
            <w:r>
              <w:rPr>
                <w:rFonts w:hint="eastAsia"/>
                <w:color w:val="000000"/>
                <w:szCs w:val="21"/>
              </w:rPr>
              <w:t>见双方公章确认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411151E0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201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美</w:t>
            </w:r>
            <w:proofErr w:type="gramStart"/>
            <w:r>
              <w:rPr>
                <w:rFonts w:hint="eastAsia"/>
                <w:color w:val="000000"/>
                <w:szCs w:val="21"/>
              </w:rPr>
              <w:t>睿</w:t>
            </w:r>
            <w:proofErr w:type="gramEnd"/>
            <w:r>
              <w:rPr>
                <w:rFonts w:hint="eastAsia"/>
                <w:color w:val="000000"/>
                <w:szCs w:val="21"/>
              </w:rPr>
              <w:t>（中国）家居有限公司</w:t>
            </w:r>
            <w:r>
              <w:rPr>
                <w:rFonts w:hint="eastAsia"/>
                <w:color w:val="000000"/>
                <w:szCs w:val="21"/>
              </w:rPr>
              <w:t>签订</w:t>
            </w:r>
            <w:r>
              <w:rPr>
                <w:rFonts w:hint="eastAsia"/>
                <w:color w:val="000000"/>
                <w:szCs w:val="21"/>
              </w:rPr>
              <w:t>实木贴皮门板系列产品</w:t>
            </w:r>
            <w:r>
              <w:rPr>
                <w:rFonts w:hint="eastAsia"/>
                <w:color w:val="000000"/>
                <w:szCs w:val="21"/>
              </w:rPr>
              <w:t>订货合同，合同规定了</w:t>
            </w:r>
            <w:r>
              <w:rPr>
                <w:rFonts w:hint="eastAsia"/>
                <w:color w:val="000000"/>
                <w:szCs w:val="21"/>
              </w:rPr>
              <w:t>产品供应和价格、质量标准及品质保证、</w:t>
            </w:r>
            <w:r>
              <w:rPr>
                <w:rFonts w:hint="eastAsia"/>
                <w:color w:val="000000"/>
                <w:szCs w:val="21"/>
              </w:rPr>
              <w:t>采购清单、验收方式、交付时间、付款方式、违约责任等条款，要求明确，</w:t>
            </w:r>
            <w:r>
              <w:rPr>
                <w:rFonts w:hint="eastAsia"/>
                <w:color w:val="000000"/>
                <w:szCs w:val="21"/>
              </w:rPr>
              <w:t>见双方公章确认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507ED691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019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 xml:space="preserve">28 </w:t>
            </w:r>
            <w:r>
              <w:rPr>
                <w:rFonts w:hint="eastAsia"/>
                <w:color w:val="000000"/>
                <w:szCs w:val="21"/>
              </w:rPr>
              <w:t>与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宁波柏厨集成</w:t>
            </w:r>
            <w:proofErr w:type="gramEnd"/>
            <w:r>
              <w:rPr>
                <w:rFonts w:hint="eastAsia"/>
                <w:color w:val="000000"/>
                <w:szCs w:val="21"/>
              </w:rPr>
              <w:t>厨房</w:t>
            </w:r>
            <w:r>
              <w:rPr>
                <w:rFonts w:hint="eastAsia"/>
                <w:color w:val="000000"/>
                <w:szCs w:val="21"/>
              </w:rPr>
              <w:t>有限公司签订</w:t>
            </w:r>
            <w:r>
              <w:rPr>
                <w:rFonts w:hint="eastAsia"/>
                <w:color w:val="000000"/>
                <w:szCs w:val="21"/>
              </w:rPr>
              <w:t>橱柜</w:t>
            </w:r>
            <w:r>
              <w:rPr>
                <w:rFonts w:hint="eastAsia"/>
                <w:color w:val="000000"/>
                <w:szCs w:val="21"/>
              </w:rPr>
              <w:t>等订货合同，合同规定了</w:t>
            </w:r>
            <w:r>
              <w:rPr>
                <w:rFonts w:hint="eastAsia"/>
                <w:color w:val="000000"/>
                <w:szCs w:val="21"/>
              </w:rPr>
              <w:t>产品供应和价格、质量标准及品质保证、</w:t>
            </w:r>
            <w:r>
              <w:rPr>
                <w:rFonts w:hint="eastAsia"/>
                <w:color w:val="000000"/>
                <w:szCs w:val="21"/>
              </w:rPr>
              <w:t>采购清单、验收方式、交付时间、付款方式、违约责任等条款，要求明</w:t>
            </w:r>
            <w:r>
              <w:rPr>
                <w:rFonts w:hint="eastAsia"/>
                <w:color w:val="000000"/>
                <w:szCs w:val="21"/>
              </w:rPr>
              <w:t>确，</w:t>
            </w:r>
            <w:r>
              <w:rPr>
                <w:rFonts w:hint="eastAsia"/>
                <w:color w:val="000000"/>
                <w:szCs w:val="21"/>
              </w:rPr>
              <w:t>见双方公章确认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2CFA4A80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以上合同均已实施，合同评审在答复顾客之前进行。</w:t>
            </w:r>
          </w:p>
          <w:p w14:paraId="1908D177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与顾客的沟通由</w:t>
            </w:r>
            <w:r>
              <w:rPr>
                <w:rFonts w:hint="eastAsia"/>
                <w:color w:val="000000"/>
                <w:szCs w:val="21"/>
              </w:rPr>
              <w:t>业务部</w:t>
            </w:r>
            <w:r>
              <w:rPr>
                <w:rFonts w:hint="eastAsia"/>
                <w:color w:val="000000"/>
                <w:szCs w:val="21"/>
              </w:rPr>
              <w:t>负责，方法：通过手机、传真、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微信等</w:t>
            </w:r>
            <w:proofErr w:type="gramEnd"/>
            <w:r>
              <w:rPr>
                <w:rFonts w:hint="eastAsia"/>
                <w:color w:val="000000"/>
                <w:szCs w:val="21"/>
              </w:rPr>
              <w:t>直接与固定客户保持日常联系，其内容包括：特殊要求、价格、后续服务等。</w:t>
            </w:r>
          </w:p>
          <w:p w14:paraId="02588838" w14:textId="77777777" w:rsidR="00B80D92" w:rsidRDefault="00CA442F">
            <w:pPr>
              <w:spacing w:line="280" w:lineRule="exact"/>
              <w:ind w:firstLine="421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公司暂无合同变更情况发生。</w:t>
            </w:r>
          </w:p>
        </w:tc>
        <w:tc>
          <w:tcPr>
            <w:tcW w:w="1585" w:type="dxa"/>
          </w:tcPr>
          <w:p w14:paraId="196E727C" w14:textId="77777777" w:rsidR="00B80D92" w:rsidRDefault="00B80D92"/>
        </w:tc>
      </w:tr>
      <w:tr w:rsidR="00B80D92" w14:paraId="362E7799" w14:textId="77777777">
        <w:trPr>
          <w:trHeight w:val="730"/>
        </w:trPr>
        <w:tc>
          <w:tcPr>
            <w:tcW w:w="2122" w:type="dxa"/>
          </w:tcPr>
          <w:p w14:paraId="2CAD6939" w14:textId="77777777" w:rsidR="00B80D92" w:rsidRDefault="00CA442F"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标识和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追溯性</w:t>
            </w:r>
          </w:p>
        </w:tc>
        <w:tc>
          <w:tcPr>
            <w:tcW w:w="998" w:type="dxa"/>
          </w:tcPr>
          <w:p w14:paraId="0ED363E6" w14:textId="18EBACA8" w:rsidR="00B80D92" w:rsidRDefault="00CA442F" w:rsidP="007E7250"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Q8.5.2</w:t>
            </w:r>
          </w:p>
        </w:tc>
        <w:tc>
          <w:tcPr>
            <w:tcW w:w="10004" w:type="dxa"/>
          </w:tcPr>
          <w:p w14:paraId="5EAC2B52" w14:textId="77777777" w:rsidR="00B80D92" w:rsidRDefault="00CA442F">
            <w:pPr>
              <w:spacing w:line="280" w:lineRule="exact"/>
              <w:ind w:firstLine="42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</w:t>
            </w:r>
            <w:r>
              <w:rPr>
                <w:rFonts w:ascii="宋体" w:hAnsi="宋体" w:cs="宋体" w:hint="eastAsia"/>
                <w:szCs w:val="21"/>
              </w:rPr>
              <w:t>司</w:t>
            </w:r>
            <w:r>
              <w:rPr>
                <w:rFonts w:ascii="宋体" w:hAnsi="宋体" w:cs="宋体" w:hint="eastAsia"/>
                <w:szCs w:val="21"/>
              </w:rPr>
              <w:t>产品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/>
                <w:szCs w:val="21"/>
              </w:rPr>
              <w:t>销售</w:t>
            </w:r>
            <w:r>
              <w:rPr>
                <w:rFonts w:ascii="宋体" w:hAnsi="宋体" w:cs="宋体" w:hint="eastAsia"/>
                <w:szCs w:val="21"/>
              </w:rPr>
              <w:t>标识，内容涉及：品牌、名称、地址标识等，所有项目填写完整。</w:t>
            </w:r>
          </w:p>
        </w:tc>
        <w:tc>
          <w:tcPr>
            <w:tcW w:w="1585" w:type="dxa"/>
          </w:tcPr>
          <w:p w14:paraId="0E06CE8C" w14:textId="77777777" w:rsidR="00B80D92" w:rsidRDefault="00B80D92"/>
        </w:tc>
      </w:tr>
      <w:tr w:rsidR="00B80D92" w14:paraId="3F2EBD89" w14:textId="77777777">
        <w:trPr>
          <w:trHeight w:val="840"/>
        </w:trPr>
        <w:tc>
          <w:tcPr>
            <w:tcW w:w="2122" w:type="dxa"/>
          </w:tcPr>
          <w:p w14:paraId="2FAEFEE7" w14:textId="77777777" w:rsidR="00B80D92" w:rsidRDefault="00CA442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顾客或外供方财产</w:t>
            </w:r>
          </w:p>
        </w:tc>
        <w:tc>
          <w:tcPr>
            <w:tcW w:w="998" w:type="dxa"/>
          </w:tcPr>
          <w:p w14:paraId="26ADBED0" w14:textId="244B5D55" w:rsidR="00B80D92" w:rsidRDefault="00CA442F" w:rsidP="007E7250"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Q8.5.3</w:t>
            </w:r>
          </w:p>
        </w:tc>
        <w:tc>
          <w:tcPr>
            <w:tcW w:w="10004" w:type="dxa"/>
          </w:tcPr>
          <w:p w14:paraId="727DEE2D" w14:textId="77777777" w:rsidR="00B80D92" w:rsidRDefault="00CA442F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客或外部供方的财产，由部门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业务内勤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负责管理，分类登记放置。</w:t>
            </w:r>
          </w:p>
          <w:p w14:paraId="64273286" w14:textId="77777777" w:rsidR="00B80D92" w:rsidRDefault="00CA442F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主要的顾客财产为客户要求加工的图纸，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未发生损坏丢失等现象。</w:t>
            </w:r>
          </w:p>
        </w:tc>
        <w:tc>
          <w:tcPr>
            <w:tcW w:w="1585" w:type="dxa"/>
          </w:tcPr>
          <w:p w14:paraId="4ECA3A63" w14:textId="77777777" w:rsidR="00B80D92" w:rsidRDefault="00B80D92"/>
        </w:tc>
      </w:tr>
      <w:tr w:rsidR="00B80D92" w14:paraId="722DB664" w14:textId="77777777" w:rsidTr="007E7250">
        <w:trPr>
          <w:trHeight w:val="405"/>
        </w:trPr>
        <w:tc>
          <w:tcPr>
            <w:tcW w:w="2122" w:type="dxa"/>
          </w:tcPr>
          <w:p w14:paraId="7F29F4E0" w14:textId="77777777" w:rsidR="00B80D92" w:rsidRDefault="00CA442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防护</w:t>
            </w:r>
          </w:p>
          <w:p w14:paraId="07A439DA" w14:textId="77777777" w:rsidR="00B80D92" w:rsidRDefault="00B80D92"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998" w:type="dxa"/>
          </w:tcPr>
          <w:p w14:paraId="7C6A75D7" w14:textId="7A485779" w:rsidR="00B80D92" w:rsidRDefault="00CA442F" w:rsidP="007E7250"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Q8.5.4</w:t>
            </w:r>
          </w:p>
        </w:tc>
        <w:tc>
          <w:tcPr>
            <w:tcW w:w="10004" w:type="dxa"/>
          </w:tcPr>
          <w:p w14:paraId="1B37C30D" w14:textId="77777777" w:rsidR="00B80D92" w:rsidRDefault="00CA442F">
            <w:pPr>
              <w:spacing w:line="280" w:lineRule="exac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</w:t>
            </w:r>
            <w:r>
              <w:rPr>
                <w:rFonts w:ascii="宋体" w:hAnsi="宋体" w:cs="宋体" w:hint="eastAsia"/>
                <w:szCs w:val="21"/>
              </w:rPr>
              <w:t>司</w:t>
            </w:r>
            <w:r>
              <w:rPr>
                <w:rFonts w:ascii="宋体" w:hAnsi="宋体" w:cs="宋体" w:hint="eastAsia"/>
                <w:szCs w:val="21"/>
              </w:rPr>
              <w:t>产品的包装用塑料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包装膜第多层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包装，再用纸箱包装。</w:t>
            </w:r>
          </w:p>
          <w:p w14:paraId="45428CA2" w14:textId="77777777" w:rsidR="00B80D92" w:rsidRDefault="00CA442F">
            <w:pPr>
              <w:spacing w:line="280" w:lineRule="exact"/>
              <w:ind w:firstLine="48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产品防护基本有序。</w:t>
            </w:r>
          </w:p>
        </w:tc>
        <w:tc>
          <w:tcPr>
            <w:tcW w:w="1585" w:type="dxa"/>
          </w:tcPr>
          <w:p w14:paraId="251A048F" w14:textId="77777777" w:rsidR="00B80D92" w:rsidRDefault="00B80D92"/>
        </w:tc>
      </w:tr>
      <w:tr w:rsidR="00B80D92" w14:paraId="723C2296" w14:textId="77777777">
        <w:trPr>
          <w:trHeight w:val="748"/>
        </w:trPr>
        <w:tc>
          <w:tcPr>
            <w:tcW w:w="2122" w:type="dxa"/>
          </w:tcPr>
          <w:p w14:paraId="5EBB0F5D" w14:textId="77777777" w:rsidR="00B80D92" w:rsidRDefault="00CA442F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交付后活动</w:t>
            </w:r>
          </w:p>
          <w:p w14:paraId="4949587F" w14:textId="77777777" w:rsidR="00B80D92" w:rsidRDefault="00B80D92">
            <w:pPr>
              <w:spacing w:line="28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998" w:type="dxa"/>
          </w:tcPr>
          <w:p w14:paraId="1DD4E7B1" w14:textId="77777777" w:rsidR="00B80D92" w:rsidRDefault="00CA442F"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Q8.5.5</w:t>
            </w:r>
          </w:p>
        </w:tc>
        <w:tc>
          <w:tcPr>
            <w:tcW w:w="10004" w:type="dxa"/>
          </w:tcPr>
          <w:p w14:paraId="0BC925D4" w14:textId="77777777" w:rsidR="00B80D92" w:rsidRDefault="00CA442F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产品交付时，对客户销售人员进行使用培训，内容涉及涂料的样板册和介绍等。如客户在使用过程中出现问题，先通过电话进行解决，如远程无法解决，派专人到客户现场实地解决。</w:t>
            </w:r>
          </w:p>
        </w:tc>
        <w:tc>
          <w:tcPr>
            <w:tcW w:w="1585" w:type="dxa"/>
          </w:tcPr>
          <w:p w14:paraId="3EBCF628" w14:textId="77777777" w:rsidR="00B80D92" w:rsidRDefault="00B80D92"/>
        </w:tc>
      </w:tr>
      <w:tr w:rsidR="00B80D92" w14:paraId="47BDB022" w14:textId="77777777">
        <w:trPr>
          <w:trHeight w:val="628"/>
        </w:trPr>
        <w:tc>
          <w:tcPr>
            <w:tcW w:w="2122" w:type="dxa"/>
          </w:tcPr>
          <w:p w14:paraId="0807CE54" w14:textId="77777777" w:rsidR="00B80D92" w:rsidRDefault="00CA442F"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生产和服务提供的更改控制</w:t>
            </w:r>
          </w:p>
        </w:tc>
        <w:tc>
          <w:tcPr>
            <w:tcW w:w="998" w:type="dxa"/>
          </w:tcPr>
          <w:p w14:paraId="2E832D7B" w14:textId="77777777" w:rsidR="00B80D92" w:rsidRDefault="00CA442F">
            <w:pPr>
              <w:spacing w:line="280" w:lineRule="exact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Q8.5.6</w:t>
            </w:r>
          </w:p>
        </w:tc>
        <w:tc>
          <w:tcPr>
            <w:tcW w:w="10004" w:type="dxa"/>
          </w:tcPr>
          <w:p w14:paraId="79748DAA" w14:textId="77777777" w:rsidR="00B80D92" w:rsidRDefault="00CA442F">
            <w:pPr>
              <w:spacing w:line="280" w:lineRule="exact"/>
              <w:ind w:firstLine="48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暂无销售服务更改。</w:t>
            </w:r>
          </w:p>
        </w:tc>
        <w:tc>
          <w:tcPr>
            <w:tcW w:w="1585" w:type="dxa"/>
          </w:tcPr>
          <w:p w14:paraId="076BA5A0" w14:textId="77777777" w:rsidR="00B80D92" w:rsidRDefault="00B80D92"/>
        </w:tc>
      </w:tr>
      <w:tr w:rsidR="00B80D92" w14:paraId="1C5961DA" w14:textId="77777777">
        <w:trPr>
          <w:trHeight w:val="2681"/>
        </w:trPr>
        <w:tc>
          <w:tcPr>
            <w:tcW w:w="2122" w:type="dxa"/>
          </w:tcPr>
          <w:p w14:paraId="531AED5B" w14:textId="77777777" w:rsidR="00B80D92" w:rsidRDefault="00CA442F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顾客满意</w:t>
            </w:r>
          </w:p>
        </w:tc>
        <w:tc>
          <w:tcPr>
            <w:tcW w:w="998" w:type="dxa"/>
          </w:tcPr>
          <w:p w14:paraId="4B109034" w14:textId="77777777" w:rsidR="00B80D92" w:rsidRDefault="00CA442F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9.1.2</w:t>
            </w:r>
          </w:p>
        </w:tc>
        <w:tc>
          <w:tcPr>
            <w:tcW w:w="10004" w:type="dxa"/>
          </w:tcPr>
          <w:p w14:paraId="5578F40E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公司已建立和保持了《顾客满意度监测管理程序》，对顾客满意的监测的相关内容进行了规定，其包括了对调查信息来源、信息收集、信息分析等。</w:t>
            </w:r>
          </w:p>
          <w:p w14:paraId="1C379CC6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公司于内审前采取对主要顾客进行满意度调查的形式，共发出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份《顾客满意度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意见调查征询表》，有效回收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份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1C8609AF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调查内容有：产品满意程度、服务满意程度等，查阅《顾客满意度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意见调查征询表》。</w:t>
            </w:r>
          </w:p>
          <w:p w14:paraId="5D2E496D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对每一调查内容按百分制统计和计算。</w:t>
            </w:r>
          </w:p>
          <w:p w14:paraId="53C3C60B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查《顾客满意度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意见调查征询表》，记录真实有效。</w:t>
            </w:r>
          </w:p>
          <w:p w14:paraId="18917FF8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提供《顾客满意率统计表》，顾客满意率达到</w:t>
            </w: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，达到了质量目标的要求。</w:t>
            </w:r>
          </w:p>
          <w:p w14:paraId="20E71D1F" w14:textId="77777777" w:rsidR="00B80D92" w:rsidRDefault="00CA442F">
            <w:pPr>
              <w:spacing w:line="28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调查未发现有顾客投诉。</w:t>
            </w:r>
          </w:p>
        </w:tc>
        <w:tc>
          <w:tcPr>
            <w:tcW w:w="1585" w:type="dxa"/>
          </w:tcPr>
          <w:p w14:paraId="5D54E170" w14:textId="77777777" w:rsidR="00B80D92" w:rsidRDefault="00B80D92"/>
        </w:tc>
      </w:tr>
    </w:tbl>
    <w:p w14:paraId="56C70B7B" w14:textId="77777777" w:rsidR="00B80D92" w:rsidRDefault="00CA442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B80D92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10FBA" w14:textId="77777777" w:rsidR="00CA442F" w:rsidRDefault="00CA442F">
      <w:r>
        <w:separator/>
      </w:r>
    </w:p>
  </w:endnote>
  <w:endnote w:type="continuationSeparator" w:id="0">
    <w:p w14:paraId="051D6696" w14:textId="77777777" w:rsidR="00CA442F" w:rsidRDefault="00CA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394952FE" w14:textId="77777777" w:rsidR="00B80D92" w:rsidRDefault="00CA442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D01A93F" w14:textId="77777777" w:rsidR="00B80D92" w:rsidRDefault="00B80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385A5" w14:textId="77777777" w:rsidR="00CA442F" w:rsidRDefault="00CA442F">
      <w:r>
        <w:separator/>
      </w:r>
    </w:p>
  </w:footnote>
  <w:footnote w:type="continuationSeparator" w:id="0">
    <w:p w14:paraId="2F5E482D" w14:textId="77777777" w:rsidR="00CA442F" w:rsidRDefault="00CA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CFB3" w14:textId="77777777" w:rsidR="00B80D92" w:rsidRDefault="00CA442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D99FAC5" wp14:editId="373608D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6CAD11A" w14:textId="77777777" w:rsidR="00B80D92" w:rsidRDefault="00CA442F">
    <w:pPr>
      <w:pStyle w:val="a7"/>
      <w:pBdr>
        <w:bottom w:val="none" w:sz="0" w:space="0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F1A6B" wp14:editId="0BA558AF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47F4EF" w14:textId="77777777" w:rsidR="00B80D92" w:rsidRDefault="00CA442F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F1A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RxFgIAAPADAAAOAAAAZHJzL2Uyb0RvYy54bWysU82O0zAQviPxDpbvNG3ULrtR09XSVRHS&#10;8iMtPIDjOIlF4jFjt0l5AHgDTly481x9jh073VLghvDB8nhmPs/3zXh5PXQt2yl0GkzOZ5MpZ8pI&#10;KLWpc/7h/ebZJWfOC1OKFozK+V45fr16+mTZ20yl0EBbKmQEYlzW25w33tssSZxsVCfcBKwy5KwA&#10;O+HJxDopUfSE3rVJOp1eJD1gaRGkco5ub0cnX0X8qlLSv60qpzxrc061+bhj3IuwJ6ulyGoUttHy&#10;WIb4hyo6oQ09eoK6FV6wLeq/oDotERxUfiKhS6CqtFSRA7GZTf9gc98IqyIXEsfZk0zu/8HKN7t3&#10;yHSZ85QzIzpq0eHb18P3n4cfX9gsyNNbl1HUvaU4P7yAgdocqTp7B/KjYwbWjTC1ukGEvlGipPJi&#10;ZnKWOuK4AFL0r6Gkd8TWQwQaKuyCdqQGI3Rq0/7UGjV4JukynV3O51NySfKli4vFPPYuEdljtkXn&#10;XyroWDjkHKn1EV3s7pwnHhT6GBIec9DqcqPbNhpYF+sW2U7QmGziCtQp5bew1oRgAyFtdIebSDMw&#10;Gzn6oRiOshVQ7okwwjh29E3o0AB+5qynkcu5+7QVqDhrXxkS7WpGFGlGozFfPE/JwHNPce4RRhJU&#10;zj1n43Htx7neWtR1Qy+NbTJwQ0JXOmoQOjJWdaybxiryPH6BMLfndoz69VFXDwAAAP//AwBQSwME&#10;FAAGAAgAAAAhANC4q6ndAAAACgEAAA8AAABkcnMvZG93bnJldi54bWxMj91Og0AQhe9NfIfNmHhj&#10;7FKF/iBLoyYab1v7AANMgcjOEnZb6Ns7XOnlOfPlzDnZbrKdutDgW8cGlosIFHHpqpZrA8fvj8cN&#10;KB+QK+wck4EredjltzcZppUbeU+XQ6iVhLBP0UATQp9q7cuGLPqF64nldnKDxSByqHU14CjhttNP&#10;UbTSFluWDw329N5Q+XM4WwOnr/Eh2Y7FZziu9/HqDdt14a7G3N9Nry+gAk3hD4a5vlSHXDoV7syV&#10;V53oZbRNhDUQx6BmIE6exShmYwM6z/T/CfkvAAAA//8DAFBLAQItABQABgAIAAAAIQC2gziS/gAA&#10;AOEBAAATAAAAAAAAAAAAAAAAAAAAAABbQ29udGVudF9UeXBlc10ueG1sUEsBAi0AFAAGAAgAAAAh&#10;ADj9If/WAAAAlAEAAAsAAAAAAAAAAAAAAAAALwEAAF9yZWxzLy5yZWxzUEsBAi0AFAAGAAgAAAAh&#10;AB0HtHEWAgAA8AMAAA4AAAAAAAAAAAAAAAAALgIAAGRycy9lMm9Eb2MueG1sUEsBAi0AFAAGAAgA&#10;AAAhANC4q6ndAAAACgEAAA8AAAAAAAAAAAAAAAAAcAQAAGRycy9kb3ducmV2LnhtbFBLBQYAAAAA&#10;BAAEAPMAAAB6BQAAAAA=&#10;" stroked="f">
              <v:textbox>
                <w:txbxContent>
                  <w:p w14:paraId="6147F4EF" w14:textId="77777777" w:rsidR="00B80D92" w:rsidRDefault="00CA442F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proofErr w:type="spellStart"/>
    <w:r>
      <w:rPr>
        <w:rStyle w:val="CharChar1"/>
        <w:rFonts w:hint="default"/>
        <w:w w:val="90"/>
      </w:rPr>
      <w:t>Bijing</w:t>
    </w:r>
    <w:proofErr w:type="spellEnd"/>
    <w:r>
      <w:rPr>
        <w:rStyle w:val="CharChar1"/>
        <w:rFonts w:hint="default"/>
        <w:w w:val="90"/>
      </w:rPr>
      <w:t xml:space="preserve"> </w:t>
    </w:r>
    <w:proofErr w:type="spellStart"/>
    <w:r>
      <w:rPr>
        <w:rStyle w:val="CharChar1"/>
        <w:rFonts w:hint="default"/>
        <w:w w:val="90"/>
      </w:rPr>
      <w:t>Intrnational</w:t>
    </w:r>
    <w:proofErr w:type="spellEnd"/>
    <w:r>
      <w:rPr>
        <w:rStyle w:val="CharChar1"/>
        <w:rFonts w:hint="default"/>
        <w:w w:val="90"/>
      </w:rPr>
      <w:t xml:space="preserve"> Standard </w:t>
    </w:r>
    <w:proofErr w:type="spellStart"/>
    <w:r>
      <w:rPr>
        <w:rStyle w:val="CharChar1"/>
        <w:rFonts w:hint="default"/>
        <w:w w:val="90"/>
      </w:rPr>
      <w:t>unitd</w:t>
    </w:r>
    <w:proofErr w:type="spellEnd"/>
    <w:r>
      <w:rPr>
        <w:rStyle w:val="CharChar1"/>
        <w:rFonts w:hint="default"/>
        <w:w w:val="90"/>
      </w:rPr>
      <w:t xml:space="preserve"> </w:t>
    </w:r>
    <w:proofErr w:type="spellStart"/>
    <w:r>
      <w:rPr>
        <w:rStyle w:val="CharChar1"/>
        <w:rFonts w:hint="default"/>
        <w:w w:val="90"/>
      </w:rPr>
      <w:t>Crtification</w:t>
    </w:r>
    <w:proofErr w:type="spellEnd"/>
    <w:r>
      <w:rPr>
        <w:rStyle w:val="CharChar1"/>
        <w:rFonts w:hint="default"/>
        <w:w w:val="90"/>
      </w:rPr>
      <w:t xml:space="preserve">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DC4D2CD" w14:textId="77777777" w:rsidR="00B80D92" w:rsidRDefault="00B80D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16"/>
    <w:rsid w:val="00006A83"/>
    <w:rsid w:val="00011A1F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E48ED"/>
    <w:rsid w:val="001F0E7B"/>
    <w:rsid w:val="00215D59"/>
    <w:rsid w:val="002533F4"/>
    <w:rsid w:val="00271E4E"/>
    <w:rsid w:val="00273847"/>
    <w:rsid w:val="002871F4"/>
    <w:rsid w:val="00287457"/>
    <w:rsid w:val="002B36EC"/>
    <w:rsid w:val="002C22A6"/>
    <w:rsid w:val="002C734F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12BB"/>
    <w:rsid w:val="003C254E"/>
    <w:rsid w:val="003E434A"/>
    <w:rsid w:val="0042030E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1EE9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3961"/>
    <w:rsid w:val="00715292"/>
    <w:rsid w:val="007469D5"/>
    <w:rsid w:val="0075560B"/>
    <w:rsid w:val="00756C63"/>
    <w:rsid w:val="00761387"/>
    <w:rsid w:val="00774749"/>
    <w:rsid w:val="00777827"/>
    <w:rsid w:val="007861D2"/>
    <w:rsid w:val="007B4035"/>
    <w:rsid w:val="007B4E33"/>
    <w:rsid w:val="007C5A7D"/>
    <w:rsid w:val="007C6A31"/>
    <w:rsid w:val="007E6050"/>
    <w:rsid w:val="007E72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5119"/>
    <w:rsid w:val="0092791F"/>
    <w:rsid w:val="00954D65"/>
    <w:rsid w:val="00955C0E"/>
    <w:rsid w:val="00976860"/>
    <w:rsid w:val="00991AEB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507C"/>
    <w:rsid w:val="00B80D92"/>
    <w:rsid w:val="00BC0A8A"/>
    <w:rsid w:val="00C277AC"/>
    <w:rsid w:val="00C41F32"/>
    <w:rsid w:val="00C4272D"/>
    <w:rsid w:val="00C44388"/>
    <w:rsid w:val="00C53433"/>
    <w:rsid w:val="00C60EB8"/>
    <w:rsid w:val="00C827AA"/>
    <w:rsid w:val="00C856E9"/>
    <w:rsid w:val="00C94573"/>
    <w:rsid w:val="00CA1BE3"/>
    <w:rsid w:val="00CA442F"/>
    <w:rsid w:val="00CD1E5C"/>
    <w:rsid w:val="00CD4ED7"/>
    <w:rsid w:val="00CD58BC"/>
    <w:rsid w:val="00D05DB2"/>
    <w:rsid w:val="00D6037A"/>
    <w:rsid w:val="00D937E0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1A1"/>
    <w:rsid w:val="00E707CA"/>
    <w:rsid w:val="00E944DC"/>
    <w:rsid w:val="00E97654"/>
    <w:rsid w:val="00EA2EA2"/>
    <w:rsid w:val="00EB1A5C"/>
    <w:rsid w:val="00EB6AAC"/>
    <w:rsid w:val="00EC3C4C"/>
    <w:rsid w:val="00ED41DC"/>
    <w:rsid w:val="00EF78EA"/>
    <w:rsid w:val="00F000A1"/>
    <w:rsid w:val="00F01F3E"/>
    <w:rsid w:val="00F05246"/>
    <w:rsid w:val="00F058E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A755CD1"/>
    <w:rsid w:val="11B844E6"/>
    <w:rsid w:val="2040422A"/>
    <w:rsid w:val="233E7107"/>
    <w:rsid w:val="41756FF7"/>
    <w:rsid w:val="43F34393"/>
    <w:rsid w:val="4DED56EF"/>
    <w:rsid w:val="4DF42216"/>
    <w:rsid w:val="50964725"/>
    <w:rsid w:val="5C894199"/>
    <w:rsid w:val="674154A3"/>
    <w:rsid w:val="747D06DB"/>
    <w:rsid w:val="75B86B30"/>
    <w:rsid w:val="7821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E38A"/>
  <w15:docId w15:val="{E09361F1-94F2-4CC7-9C43-59D72CE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Char">
    <w:name w:val="Char"/>
    <w:basedOn w:val="a"/>
    <w:qFormat/>
    <w:rPr>
      <w:rFonts w:ascii="仿宋_GB2312" w:eastAsia="仿宋_GB2312"/>
      <w:b/>
      <w:sz w:val="32"/>
      <w:szCs w:val="32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2</cp:revision>
  <dcterms:created xsi:type="dcterms:W3CDTF">2020-08-11T07:47:00Z</dcterms:created>
  <dcterms:modified xsi:type="dcterms:W3CDTF">2020-08-11T07:47:00Z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